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E44" w:rsidRPr="003140FF" w:rsidRDefault="00AE4B8C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3140FF">
        <w:rPr>
          <w:rFonts w:ascii="方正小标宋简体" w:eastAsia="方正小标宋简体" w:hAnsi="方正小标宋简体" w:cs="方正小标宋简体" w:hint="eastAsia"/>
          <w:sz w:val="44"/>
          <w:szCs w:val="44"/>
        </w:rPr>
        <w:t>疏勒县2020</w:t>
      </w:r>
      <w:r w:rsidR="002939E3" w:rsidRPr="003140FF">
        <w:rPr>
          <w:rFonts w:ascii="方正小标宋简体" w:eastAsia="方正小标宋简体" w:hAnsi="方正小标宋简体" w:cs="方正小标宋简体" w:hint="eastAsia"/>
          <w:sz w:val="44"/>
          <w:szCs w:val="44"/>
        </w:rPr>
        <w:t>年度</w:t>
      </w:r>
      <w:r w:rsidRPr="003140FF">
        <w:rPr>
          <w:rFonts w:ascii="方正小标宋简体" w:eastAsia="方正小标宋简体" w:hAnsi="方正小标宋简体" w:cs="方正小标宋简体" w:hint="eastAsia"/>
          <w:sz w:val="44"/>
          <w:szCs w:val="44"/>
        </w:rPr>
        <w:t>转移支付情况说明</w:t>
      </w:r>
    </w:p>
    <w:p w:rsidR="00D04E44" w:rsidRDefault="00D04E44">
      <w:pPr>
        <w:rPr>
          <w:rFonts w:ascii="仿宋" w:eastAsia="仿宋" w:hAnsi="仿宋"/>
          <w:sz w:val="32"/>
          <w:szCs w:val="32"/>
        </w:rPr>
      </w:pPr>
    </w:p>
    <w:p w:rsidR="00D04E44" w:rsidRPr="003140FF" w:rsidRDefault="00AE4B8C">
      <w:pPr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疏勒县十五届人大常委会第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40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次会议于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2021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年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7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月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30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日批准了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2020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年疏勒县</w:t>
      </w:r>
      <w:r w:rsidRPr="003140FF">
        <w:rPr>
          <w:rFonts w:ascii="Times New Roman" w:eastAsia="方正仿宋简体" w:hAnsi="Times New Roman" w:cs="Times New Roman"/>
          <w:sz w:val="32"/>
          <w:szCs w:val="32"/>
        </w:rPr>
        <w:t>本级决算。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根据预算法规定和国务院、</w:t>
      </w:r>
      <w:r w:rsidRPr="003140FF">
        <w:rPr>
          <w:rFonts w:ascii="Times New Roman" w:eastAsia="方正仿宋简体" w:hAnsi="Times New Roman" w:cs="Times New Roman"/>
          <w:sz w:val="32"/>
          <w:szCs w:val="32"/>
        </w:rPr>
        <w:t>财政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部预算</w:t>
      </w:r>
      <w:r w:rsidRPr="003140FF">
        <w:rPr>
          <w:rFonts w:ascii="Times New Roman" w:eastAsia="方正仿宋简体" w:hAnsi="Times New Roman" w:cs="Times New Roman"/>
          <w:sz w:val="32"/>
          <w:szCs w:val="32"/>
        </w:rPr>
        <w:t>公开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的</w:t>
      </w:r>
      <w:r w:rsidRPr="003140FF">
        <w:rPr>
          <w:rFonts w:ascii="Times New Roman" w:eastAsia="方正仿宋简体" w:hAnsi="Times New Roman" w:cs="Times New Roman"/>
          <w:sz w:val="32"/>
          <w:szCs w:val="32"/>
        </w:rPr>
        <w:t>有关要求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，现将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2020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年</w:t>
      </w:r>
      <w:r w:rsidRPr="003140FF">
        <w:rPr>
          <w:rFonts w:ascii="Times New Roman" w:eastAsia="方正仿宋简体" w:hAnsi="Times New Roman" w:cs="Times New Roman"/>
          <w:sz w:val="32"/>
          <w:szCs w:val="32"/>
        </w:rPr>
        <w:t>转移支付情况说明如下：</w:t>
      </w:r>
    </w:p>
    <w:p w:rsidR="00D04E44" w:rsidRPr="003140FF" w:rsidRDefault="007856BD" w:rsidP="003140FF">
      <w:pPr>
        <w:pStyle w:val="a5"/>
        <w:numPr>
          <w:ilvl w:val="0"/>
          <w:numId w:val="3"/>
        </w:numPr>
        <w:ind w:firstLineChars="0"/>
        <w:rPr>
          <w:rFonts w:ascii="Times New Roman" w:eastAsia="方正仿宋简体" w:hAnsi="Times New Roman" w:cs="Times New Roman"/>
          <w:sz w:val="32"/>
          <w:szCs w:val="32"/>
        </w:rPr>
      </w:pPr>
      <w:r>
        <w:rPr>
          <w:rFonts w:ascii="Times New Roman" w:eastAsia="方正黑体简体" w:hAnsi="Times New Roman" w:cs="Times New Roman" w:hint="eastAsia"/>
          <w:bCs/>
          <w:sz w:val="32"/>
          <w:szCs w:val="32"/>
        </w:rPr>
        <w:t>上级</w:t>
      </w:r>
      <w:r w:rsidR="00AE4B8C" w:rsidRPr="003140FF">
        <w:rPr>
          <w:rFonts w:ascii="Times New Roman" w:eastAsia="方正黑体简体" w:hAnsi="Times New Roman" w:cs="Times New Roman" w:hint="eastAsia"/>
          <w:bCs/>
          <w:sz w:val="32"/>
          <w:szCs w:val="32"/>
        </w:rPr>
        <w:t>财政对</w:t>
      </w:r>
      <w:r>
        <w:rPr>
          <w:rFonts w:ascii="Times New Roman" w:eastAsia="方正黑体简体" w:hAnsi="Times New Roman" w:cs="Times New Roman" w:hint="eastAsia"/>
          <w:bCs/>
          <w:sz w:val="32"/>
          <w:szCs w:val="32"/>
        </w:rPr>
        <w:t>疏勒县一般公共预算</w:t>
      </w:r>
      <w:r w:rsidR="00AE4B8C" w:rsidRPr="003140FF">
        <w:rPr>
          <w:rFonts w:ascii="Times New Roman" w:eastAsia="方正黑体简体" w:hAnsi="Times New Roman" w:cs="Times New Roman"/>
          <w:bCs/>
          <w:sz w:val="32"/>
          <w:szCs w:val="32"/>
        </w:rPr>
        <w:t>转移支付情况</w:t>
      </w:r>
    </w:p>
    <w:p w:rsidR="00D04E44" w:rsidRDefault="00AE4B8C">
      <w:pPr>
        <w:ind w:firstLine="652"/>
        <w:rPr>
          <w:rFonts w:ascii="Times New Roman" w:eastAsia="方正仿宋简体" w:hAnsi="Times New Roman" w:cs="Times New Roman" w:hint="eastAsia"/>
          <w:sz w:val="32"/>
          <w:szCs w:val="32"/>
        </w:rPr>
      </w:pP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2020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年上级</w:t>
      </w:r>
      <w:r w:rsidR="007856BD">
        <w:rPr>
          <w:rFonts w:ascii="Times New Roman" w:eastAsia="方正仿宋简体" w:hAnsi="Times New Roman" w:cs="Times New Roman" w:hint="eastAsia"/>
          <w:sz w:val="32"/>
          <w:szCs w:val="32"/>
        </w:rPr>
        <w:t>下达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疏勒县补助收入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467973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万元，与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2019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年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488224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万元相比</w:t>
      </w:r>
      <w:r w:rsidR="004470B5">
        <w:rPr>
          <w:rFonts w:ascii="Times New Roman" w:eastAsia="方正仿宋简体" w:hAnsi="Times New Roman" w:cs="Times New Roman" w:hint="eastAsia"/>
          <w:sz w:val="32"/>
          <w:szCs w:val="32"/>
        </w:rPr>
        <w:t>减少</w:t>
      </w:r>
      <w:r w:rsidR="004470B5">
        <w:rPr>
          <w:rFonts w:ascii="Times New Roman" w:eastAsia="方正仿宋简体" w:hAnsi="Times New Roman" w:cs="Times New Roman" w:hint="eastAsia"/>
          <w:sz w:val="32"/>
          <w:szCs w:val="32"/>
        </w:rPr>
        <w:t>20251</w:t>
      </w:r>
      <w:r w:rsidR="004470B5">
        <w:rPr>
          <w:rFonts w:ascii="Times New Roman" w:eastAsia="方正仿宋简体" w:hAnsi="Times New Roman" w:cs="Times New Roman" w:hint="eastAsia"/>
          <w:sz w:val="32"/>
          <w:szCs w:val="32"/>
        </w:rPr>
        <w:t>万元，下降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4.15%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。</w:t>
      </w:r>
      <w:r w:rsidR="00A861C7">
        <w:rPr>
          <w:rFonts w:ascii="Times New Roman" w:eastAsia="方正仿宋简体" w:hAnsi="Times New Roman" w:cs="Times New Roman" w:hint="eastAsia"/>
          <w:sz w:val="32"/>
          <w:szCs w:val="32"/>
        </w:rPr>
        <w:t>其中：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返还性收入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1897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万元，一般性转移支付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404519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万元，专项转移支付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61557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万元。</w:t>
      </w:r>
    </w:p>
    <w:p w:rsidR="007856BD" w:rsidRDefault="007856BD" w:rsidP="007856BD">
      <w:pPr>
        <w:ind w:firstLine="652"/>
        <w:rPr>
          <w:rFonts w:ascii="Times New Roman" w:eastAsia="方正仿宋简体" w:hAnsi="Times New Roman" w:cs="Times New Roman" w:hint="eastAsia"/>
          <w:sz w:val="32"/>
          <w:szCs w:val="32"/>
        </w:rPr>
      </w:pPr>
      <w:r w:rsidRPr="003140FF">
        <w:rPr>
          <w:rFonts w:ascii="Times New Roman" w:eastAsia="方正仿宋简体" w:hAnsi="Times New Roman" w:cs="Times New Roman"/>
          <w:sz w:val="32"/>
          <w:szCs w:val="32"/>
        </w:rPr>
        <w:t>具体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项目</w:t>
      </w:r>
      <w:r w:rsidRPr="003140FF">
        <w:rPr>
          <w:rFonts w:ascii="Times New Roman" w:eastAsia="方正仿宋简体" w:hAnsi="Times New Roman" w:cs="Times New Roman"/>
          <w:sz w:val="32"/>
          <w:szCs w:val="32"/>
        </w:rPr>
        <w:t>明细</w:t>
      </w:r>
      <w:r>
        <w:rPr>
          <w:rFonts w:ascii="Times New Roman" w:eastAsia="方正仿宋简体" w:hAnsi="Times New Roman" w:cs="Times New Roman"/>
          <w:sz w:val="32"/>
          <w:szCs w:val="32"/>
        </w:rPr>
        <w:t>如下</w:t>
      </w:r>
      <w:r w:rsidRPr="003140FF">
        <w:rPr>
          <w:rFonts w:ascii="Times New Roman" w:eastAsia="方正仿宋简体" w:hAnsi="Times New Roman" w:cs="Times New Roman" w:hint="eastAsia"/>
          <w:sz w:val="32"/>
          <w:szCs w:val="32"/>
        </w:rPr>
        <w:t>：</w:t>
      </w:r>
    </w:p>
    <w:tbl>
      <w:tblPr>
        <w:tblW w:w="7360" w:type="dxa"/>
        <w:tblInd w:w="93" w:type="dxa"/>
        <w:tblLook w:val="04A0"/>
      </w:tblPr>
      <w:tblGrid>
        <w:gridCol w:w="5020"/>
        <w:gridCol w:w="2340"/>
      </w:tblGrid>
      <w:tr w:rsidR="005A629A" w:rsidRPr="005A629A" w:rsidTr="005A629A">
        <w:trPr>
          <w:trHeight w:val="342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上级补助收入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467,973</w:t>
            </w:r>
          </w:p>
        </w:tc>
      </w:tr>
      <w:tr w:rsidR="005A629A" w:rsidRPr="005A629A" w:rsidTr="005A629A">
        <w:trPr>
          <w:trHeight w:val="34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  返还性收入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1,897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所得税基数返还收入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162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成品油税费改革税收返还收入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增值税税收返还收入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784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消费税税收返还收入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增值税“五五分享”税收返还收入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907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其他返还性收入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42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  一般性转移支付收入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404,519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体制补助收入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3,704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均衡性转移支付收入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49,704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县级基本财力保障机制奖补资金收入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38,661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结算补助收入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1,757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资源枯竭型城市转移支付补助收入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企业事业单位划转补助收入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 xml:space="preserve">    产粮(油)大县奖励资金收入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2,708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重点生态功能区转移支付收入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8,911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固定数额补助收入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48,418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革命老区转移支付收入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民族地区转移支付收入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3,375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边境地区转移支付收入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220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贫困地区转移支付收入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66,544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一般公共服务共同财政事权转移支付收入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3,931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外交共同财政事权转移支付收入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国防共同财政事权转移支付收入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公共安全共同财政事权转移支付收入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3,965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教育共同财政事权转移支付收入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45,995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科学技术共同财政事权转移支付收入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文化旅游体育与传媒共同财政事权转移支付收入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1,047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社会保障和就业共同财政事权转移支付收入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42,151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医疗卫生共同财政事权转移支付收入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34,649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节能环保共同财政事权转移支付收入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7,723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城乡社区共同财政事权转移支付收入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农林水共同财政事权转移支付收入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17,637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交通运输共同财政事权转移支付收入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8,283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资源勘探信息等共同财政事权转移支付收入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895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商业服务业等共同财政事权转移支付收入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160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金融共同财政事权转移支付收入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自然资源海洋气象等共同财政事权转移支付收入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住房保障共同财政事权转移支付收入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9,645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粮油物资储备共同财政事权转移支付收入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灾害防治及应急管理共同财政事权转移支付收入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1,090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其他共同财政事权转移支付收入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其他一般性转移支付收入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3,328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  专项转移支付收入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61,557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一般公共服务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895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 xml:space="preserve">    外交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A629A" w:rsidRPr="005A629A" w:rsidTr="005A629A">
        <w:trPr>
          <w:trHeight w:val="34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国防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A629A" w:rsidRPr="005A629A" w:rsidTr="005A629A">
        <w:trPr>
          <w:trHeight w:val="34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公共安全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A629A" w:rsidRPr="005A629A" w:rsidTr="005A629A">
        <w:trPr>
          <w:trHeight w:val="34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教育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456</w:t>
            </w:r>
          </w:p>
        </w:tc>
      </w:tr>
      <w:tr w:rsidR="005A629A" w:rsidRPr="005A629A" w:rsidTr="005A629A">
        <w:trPr>
          <w:trHeight w:val="34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科学技术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35</w:t>
            </w:r>
          </w:p>
        </w:tc>
      </w:tr>
      <w:tr w:rsidR="005A629A" w:rsidRPr="005A629A" w:rsidTr="005A629A">
        <w:trPr>
          <w:trHeight w:val="34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文化旅游体育与传媒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1,162</w:t>
            </w:r>
          </w:p>
        </w:tc>
      </w:tr>
      <w:tr w:rsidR="005A629A" w:rsidRPr="005A629A" w:rsidTr="005A629A">
        <w:trPr>
          <w:trHeight w:val="34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社会保障和就业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90</w:t>
            </w:r>
          </w:p>
        </w:tc>
      </w:tr>
      <w:tr w:rsidR="005A629A" w:rsidRPr="005A629A" w:rsidTr="005A629A">
        <w:trPr>
          <w:trHeight w:val="34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卫生健康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1,350</w:t>
            </w:r>
          </w:p>
        </w:tc>
      </w:tr>
      <w:tr w:rsidR="005A629A" w:rsidRPr="005A629A" w:rsidTr="005A629A">
        <w:trPr>
          <w:trHeight w:val="34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节能环保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5,091</w:t>
            </w:r>
          </w:p>
        </w:tc>
      </w:tr>
      <w:tr w:rsidR="005A629A" w:rsidRPr="005A629A" w:rsidTr="005A629A">
        <w:trPr>
          <w:trHeight w:val="34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城乡社区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890</w:t>
            </w:r>
          </w:p>
        </w:tc>
      </w:tr>
      <w:tr w:rsidR="005A629A" w:rsidRPr="005A629A" w:rsidTr="005A629A">
        <w:trPr>
          <w:trHeight w:val="34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农林水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36,830</w:t>
            </w:r>
          </w:p>
        </w:tc>
      </w:tr>
      <w:tr w:rsidR="005A629A" w:rsidRPr="005A629A" w:rsidTr="005A629A">
        <w:trPr>
          <w:trHeight w:val="34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交通运输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</w:p>
        </w:tc>
      </w:tr>
      <w:tr w:rsidR="005A629A" w:rsidRPr="005A629A" w:rsidTr="005A629A">
        <w:trPr>
          <w:trHeight w:val="34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资源勘探信息等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2,271</w:t>
            </w:r>
          </w:p>
        </w:tc>
      </w:tr>
      <w:tr w:rsidR="005A629A" w:rsidRPr="005A629A" w:rsidTr="005A629A">
        <w:trPr>
          <w:trHeight w:val="34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商业服务业等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746</w:t>
            </w:r>
          </w:p>
        </w:tc>
      </w:tr>
      <w:tr w:rsidR="005A629A" w:rsidRPr="005A629A" w:rsidTr="005A629A">
        <w:trPr>
          <w:trHeight w:val="34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金融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</w:t>
            </w:r>
          </w:p>
        </w:tc>
      </w:tr>
      <w:tr w:rsidR="005A629A" w:rsidRPr="005A629A" w:rsidTr="005A629A">
        <w:trPr>
          <w:trHeight w:val="34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自然资源海洋气象等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</w:t>
            </w:r>
          </w:p>
        </w:tc>
      </w:tr>
      <w:tr w:rsidR="005A629A" w:rsidRPr="005A629A" w:rsidTr="005A629A">
        <w:trPr>
          <w:trHeight w:val="34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住房保障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9,371</w:t>
            </w:r>
          </w:p>
        </w:tc>
      </w:tr>
      <w:tr w:rsidR="005A629A" w:rsidRPr="005A629A" w:rsidTr="005A629A">
        <w:trPr>
          <w:trHeight w:val="34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粮油物资储备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2,100</w:t>
            </w:r>
          </w:p>
        </w:tc>
      </w:tr>
      <w:tr w:rsidR="005A629A" w:rsidRPr="005A629A" w:rsidTr="005A629A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灾害防治及应急管理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A629A" w:rsidRPr="005A629A" w:rsidTr="005A629A">
        <w:trPr>
          <w:trHeight w:val="34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其他收入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FFFFFF" w:fill="FFFFFF"/>
            <w:noWrap/>
            <w:vAlign w:val="center"/>
            <w:hideMark/>
          </w:tcPr>
          <w:p w:rsidR="005A629A" w:rsidRPr="005A629A" w:rsidRDefault="005A629A" w:rsidP="005A629A">
            <w:pPr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629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210</w:t>
            </w:r>
          </w:p>
        </w:tc>
      </w:tr>
    </w:tbl>
    <w:p w:rsidR="007856BD" w:rsidRPr="007856BD" w:rsidRDefault="007856BD" w:rsidP="007856BD">
      <w:pPr>
        <w:pStyle w:val="a5"/>
        <w:numPr>
          <w:ilvl w:val="0"/>
          <w:numId w:val="3"/>
        </w:numPr>
        <w:ind w:firstLineChars="0"/>
        <w:rPr>
          <w:rFonts w:ascii="Times New Roman" w:eastAsia="方正仿宋简体" w:hAnsi="Times New Roman" w:cs="Times New Roman"/>
          <w:sz w:val="32"/>
          <w:szCs w:val="32"/>
        </w:rPr>
      </w:pPr>
      <w:r w:rsidRPr="007856BD">
        <w:rPr>
          <w:rFonts w:ascii="Times New Roman" w:eastAsia="方正黑体简体" w:hAnsi="Times New Roman" w:cs="Times New Roman" w:hint="eastAsia"/>
          <w:bCs/>
          <w:sz w:val="32"/>
          <w:szCs w:val="32"/>
        </w:rPr>
        <w:t>上级财政对疏勒县</w:t>
      </w:r>
      <w:r>
        <w:rPr>
          <w:rFonts w:ascii="Times New Roman" w:eastAsia="方正黑体简体" w:hAnsi="Times New Roman" w:cs="Times New Roman" w:hint="eastAsia"/>
          <w:bCs/>
          <w:sz w:val="32"/>
          <w:szCs w:val="32"/>
        </w:rPr>
        <w:t>政府性基金</w:t>
      </w:r>
      <w:r w:rsidRPr="007856BD">
        <w:rPr>
          <w:rFonts w:ascii="Times New Roman" w:eastAsia="方正黑体简体" w:hAnsi="Times New Roman" w:cs="Times New Roman" w:hint="eastAsia"/>
          <w:bCs/>
          <w:sz w:val="32"/>
          <w:szCs w:val="32"/>
        </w:rPr>
        <w:t>预算</w:t>
      </w:r>
      <w:r w:rsidRPr="007856BD">
        <w:rPr>
          <w:rFonts w:ascii="Times New Roman" w:eastAsia="方正黑体简体" w:hAnsi="Times New Roman" w:cs="Times New Roman"/>
          <w:bCs/>
          <w:sz w:val="32"/>
          <w:szCs w:val="32"/>
        </w:rPr>
        <w:t>转移支付情况</w:t>
      </w:r>
    </w:p>
    <w:p w:rsidR="00C53288" w:rsidRDefault="00AC2469" w:rsidP="00C53288">
      <w:pPr>
        <w:widowControl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2020年上级财政下达疏勒县</w:t>
      </w:r>
      <w:r w:rsidRPr="00124D18">
        <w:rPr>
          <w:rFonts w:ascii="仿宋" w:eastAsia="仿宋" w:hAnsi="仿宋" w:hint="eastAsia"/>
          <w:sz w:val="32"/>
          <w:szCs w:val="32"/>
        </w:rPr>
        <w:t>政府</w:t>
      </w:r>
      <w:r w:rsidRPr="00124D18">
        <w:rPr>
          <w:rFonts w:ascii="仿宋" w:eastAsia="仿宋" w:hAnsi="仿宋"/>
          <w:sz w:val="32"/>
          <w:szCs w:val="32"/>
        </w:rPr>
        <w:t>性基金转移支付</w:t>
      </w:r>
      <w:r>
        <w:rPr>
          <w:rFonts w:ascii="仿宋" w:eastAsia="仿宋" w:hAnsi="仿宋" w:hint="eastAsia"/>
          <w:sz w:val="32"/>
          <w:szCs w:val="32"/>
        </w:rPr>
        <w:t>7527</w:t>
      </w:r>
      <w:r w:rsidRPr="00124D18">
        <w:rPr>
          <w:rFonts w:ascii="仿宋" w:eastAsia="仿宋" w:hAnsi="仿宋" w:hint="eastAsia"/>
          <w:sz w:val="32"/>
          <w:szCs w:val="32"/>
        </w:rPr>
        <w:t>万元</w:t>
      </w:r>
      <w:r w:rsidRPr="00124D18">
        <w:rPr>
          <w:rFonts w:ascii="仿宋" w:eastAsia="仿宋" w:hAnsi="仿宋"/>
          <w:sz w:val="32"/>
          <w:szCs w:val="32"/>
        </w:rPr>
        <w:t>，</w:t>
      </w:r>
      <w:r w:rsidR="004470B5">
        <w:rPr>
          <w:rFonts w:ascii="仿宋" w:eastAsia="仿宋" w:hAnsi="仿宋"/>
          <w:sz w:val="32"/>
          <w:szCs w:val="32"/>
        </w:rPr>
        <w:t>与</w:t>
      </w:r>
      <w:r w:rsidRPr="00124D18">
        <w:rPr>
          <w:rFonts w:ascii="仿宋" w:eastAsia="仿宋" w:hAnsi="仿宋" w:hint="eastAsia"/>
          <w:sz w:val="32"/>
          <w:szCs w:val="32"/>
        </w:rPr>
        <w:t>201</w:t>
      </w:r>
      <w:r w:rsidR="004470B5">
        <w:rPr>
          <w:rFonts w:ascii="仿宋" w:eastAsia="仿宋" w:hAnsi="仿宋" w:hint="eastAsia"/>
          <w:sz w:val="32"/>
          <w:szCs w:val="32"/>
        </w:rPr>
        <w:t>9</w:t>
      </w:r>
      <w:r w:rsidRPr="00124D18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2932</w:t>
      </w:r>
      <w:r w:rsidRPr="00124D18">
        <w:rPr>
          <w:rFonts w:ascii="仿宋" w:eastAsia="仿宋" w:hAnsi="仿宋" w:hint="eastAsia"/>
          <w:sz w:val="32"/>
          <w:szCs w:val="32"/>
        </w:rPr>
        <w:t>万元</w:t>
      </w:r>
      <w:r w:rsidR="004470B5">
        <w:rPr>
          <w:rFonts w:ascii="仿宋" w:eastAsia="仿宋" w:hAnsi="仿宋" w:hint="eastAsia"/>
          <w:sz w:val="32"/>
          <w:szCs w:val="32"/>
        </w:rPr>
        <w:t>增加4595</w:t>
      </w:r>
      <w:r w:rsidRPr="00124D18">
        <w:rPr>
          <w:rFonts w:ascii="仿宋" w:eastAsia="仿宋" w:hAnsi="仿宋" w:hint="eastAsia"/>
          <w:sz w:val="32"/>
          <w:szCs w:val="32"/>
        </w:rPr>
        <w:t>万元，</w:t>
      </w:r>
      <w:r w:rsidR="004470B5">
        <w:rPr>
          <w:rFonts w:ascii="仿宋" w:eastAsia="仿宋" w:hAnsi="仿宋" w:hint="eastAsia"/>
          <w:sz w:val="32"/>
          <w:szCs w:val="32"/>
        </w:rPr>
        <w:t>增长156.72</w:t>
      </w:r>
      <w:r w:rsidRPr="00124D18">
        <w:rPr>
          <w:rFonts w:ascii="仿宋" w:eastAsia="仿宋" w:hAnsi="仿宋" w:hint="eastAsia"/>
          <w:sz w:val="32"/>
          <w:szCs w:val="32"/>
        </w:rPr>
        <w:t>%。</w:t>
      </w:r>
      <w:r w:rsidR="007518BD">
        <w:rPr>
          <w:rFonts w:ascii="仿宋" w:eastAsia="仿宋" w:hAnsi="仿宋" w:hint="eastAsia"/>
          <w:sz w:val="32"/>
          <w:szCs w:val="32"/>
        </w:rPr>
        <w:t>其中：</w:t>
      </w:r>
      <w:r w:rsidR="007518BD" w:rsidRPr="007518BD">
        <w:rPr>
          <w:rFonts w:ascii="仿宋" w:eastAsia="仿宋" w:hAnsi="仿宋" w:hint="eastAsia"/>
          <w:sz w:val="32"/>
          <w:szCs w:val="32"/>
        </w:rPr>
        <w:t>政府性基金转移支付收入</w:t>
      </w:r>
      <w:r w:rsidR="007518BD" w:rsidRPr="007518BD">
        <w:rPr>
          <w:rFonts w:ascii="仿宋" w:eastAsia="仿宋" w:hAnsi="仿宋"/>
          <w:sz w:val="32"/>
          <w:szCs w:val="32"/>
        </w:rPr>
        <w:t>2416</w:t>
      </w:r>
      <w:r w:rsidR="007518BD">
        <w:rPr>
          <w:rFonts w:ascii="仿宋" w:eastAsia="仿宋" w:hAnsi="仿宋"/>
          <w:sz w:val="32"/>
          <w:szCs w:val="32"/>
        </w:rPr>
        <w:t>万元，</w:t>
      </w:r>
      <w:r w:rsidR="007518BD" w:rsidRPr="007518BD">
        <w:rPr>
          <w:rFonts w:ascii="仿宋" w:eastAsia="仿宋" w:hAnsi="仿宋" w:hint="eastAsia"/>
          <w:sz w:val="32"/>
          <w:szCs w:val="32"/>
        </w:rPr>
        <w:t>抗疫特别国债转移支付收入</w:t>
      </w:r>
      <w:r w:rsidR="007518BD">
        <w:rPr>
          <w:rFonts w:ascii="仿宋" w:eastAsia="仿宋" w:hAnsi="仿宋" w:hint="eastAsia"/>
          <w:sz w:val="32"/>
          <w:szCs w:val="32"/>
        </w:rPr>
        <w:t>5111万元。</w:t>
      </w:r>
    </w:p>
    <w:p w:rsidR="007856BD" w:rsidRPr="00C53288" w:rsidRDefault="00C53288" w:rsidP="00C53288">
      <w:pPr>
        <w:widowControl w:val="0"/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C53288">
        <w:rPr>
          <w:rFonts w:ascii="仿宋" w:eastAsia="仿宋" w:hAnsi="仿宋" w:hint="eastAsia"/>
          <w:b/>
          <w:sz w:val="32"/>
          <w:szCs w:val="32"/>
        </w:rPr>
        <w:t>三、</w:t>
      </w:r>
      <w:r w:rsidR="007856BD" w:rsidRPr="00C53288">
        <w:rPr>
          <w:rFonts w:ascii="Times New Roman" w:eastAsia="方正黑体简体" w:hAnsi="Times New Roman" w:cs="Times New Roman" w:hint="eastAsia"/>
          <w:bCs/>
          <w:sz w:val="32"/>
          <w:szCs w:val="32"/>
        </w:rPr>
        <w:t>上级财政对疏勒县</w:t>
      </w:r>
      <w:r w:rsidRPr="00C53288">
        <w:rPr>
          <w:rFonts w:ascii="Times New Roman" w:eastAsia="方正黑体简体" w:hAnsi="Times New Roman" w:cs="Times New Roman" w:hint="eastAsia"/>
          <w:bCs/>
          <w:sz w:val="32"/>
          <w:szCs w:val="32"/>
        </w:rPr>
        <w:t>国有资本经营</w:t>
      </w:r>
      <w:r w:rsidR="007856BD" w:rsidRPr="00C53288">
        <w:rPr>
          <w:rFonts w:ascii="Times New Roman" w:eastAsia="方正黑体简体" w:hAnsi="Times New Roman" w:cs="Times New Roman" w:hint="eastAsia"/>
          <w:bCs/>
          <w:sz w:val="32"/>
          <w:szCs w:val="32"/>
        </w:rPr>
        <w:t>预算</w:t>
      </w:r>
      <w:r w:rsidR="007856BD" w:rsidRPr="00C53288">
        <w:rPr>
          <w:rFonts w:ascii="Times New Roman" w:eastAsia="方正黑体简体" w:hAnsi="Times New Roman" w:cs="Times New Roman"/>
          <w:bCs/>
          <w:sz w:val="32"/>
          <w:szCs w:val="32"/>
        </w:rPr>
        <w:t>转移支付情况</w:t>
      </w:r>
    </w:p>
    <w:p w:rsidR="00C53288" w:rsidRPr="00124D18" w:rsidRDefault="00C53288" w:rsidP="00C53288">
      <w:pPr>
        <w:widowControl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2020</w:t>
      </w:r>
      <w:r w:rsidRPr="00124D18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上级财政下达疏勒县</w:t>
      </w:r>
      <w:r w:rsidRPr="00124D18">
        <w:rPr>
          <w:rFonts w:ascii="仿宋" w:eastAsia="仿宋" w:hAnsi="仿宋" w:hint="eastAsia"/>
          <w:sz w:val="32"/>
          <w:szCs w:val="32"/>
        </w:rPr>
        <w:t>国</w:t>
      </w:r>
      <w:r w:rsidRPr="00124D18">
        <w:rPr>
          <w:rFonts w:ascii="仿宋" w:eastAsia="仿宋" w:hAnsi="仿宋"/>
          <w:sz w:val="32"/>
          <w:szCs w:val="32"/>
        </w:rPr>
        <w:t>有资本经营预算转移支付</w:t>
      </w:r>
      <w:r>
        <w:rPr>
          <w:rFonts w:ascii="仿宋" w:eastAsia="仿宋" w:hAnsi="仿宋" w:hint="eastAsia"/>
          <w:sz w:val="32"/>
          <w:szCs w:val="32"/>
        </w:rPr>
        <w:t>2</w:t>
      </w:r>
      <w:r w:rsidRPr="00124D18">
        <w:rPr>
          <w:rFonts w:ascii="仿宋" w:eastAsia="仿宋" w:hAnsi="仿宋" w:hint="eastAsia"/>
          <w:sz w:val="32"/>
          <w:szCs w:val="32"/>
        </w:rPr>
        <w:t>万元，比201</w:t>
      </w:r>
      <w:r>
        <w:rPr>
          <w:rFonts w:ascii="仿宋" w:eastAsia="仿宋" w:hAnsi="仿宋" w:hint="eastAsia"/>
          <w:sz w:val="32"/>
          <w:szCs w:val="32"/>
        </w:rPr>
        <w:t>9</w:t>
      </w:r>
      <w:r w:rsidRPr="00124D18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0万元增加2</w:t>
      </w:r>
      <w:r w:rsidRPr="00124D18">
        <w:rPr>
          <w:rFonts w:ascii="仿宋" w:eastAsia="仿宋" w:hAnsi="仿宋" w:hint="eastAsia"/>
          <w:sz w:val="32"/>
          <w:szCs w:val="32"/>
        </w:rPr>
        <w:t>万元，</w:t>
      </w:r>
      <w:r>
        <w:rPr>
          <w:rFonts w:ascii="仿宋" w:eastAsia="仿宋" w:hAnsi="仿宋" w:hint="eastAsia"/>
          <w:sz w:val="32"/>
          <w:szCs w:val="32"/>
        </w:rPr>
        <w:t>增长</w:t>
      </w:r>
      <w:r w:rsidRPr="00124D18">
        <w:rPr>
          <w:rFonts w:ascii="仿宋" w:eastAsia="仿宋" w:hAnsi="仿宋" w:hint="eastAsia"/>
          <w:sz w:val="32"/>
          <w:szCs w:val="32"/>
        </w:rPr>
        <w:t>100%。</w:t>
      </w:r>
    </w:p>
    <w:sectPr w:rsidR="00C53288" w:rsidRPr="00124D18" w:rsidSect="00D04E44">
      <w:pgSz w:w="11906" w:h="16838"/>
      <w:pgMar w:top="1440" w:right="1797" w:bottom="1440" w:left="1797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1BE" w:rsidRDefault="00DA01BE" w:rsidP="002939E3">
      <w:pPr>
        <w:spacing w:line="240" w:lineRule="auto"/>
      </w:pPr>
      <w:r>
        <w:separator/>
      </w:r>
    </w:p>
  </w:endnote>
  <w:endnote w:type="continuationSeparator" w:id="0">
    <w:p w:rsidR="00DA01BE" w:rsidRDefault="00DA01BE" w:rsidP="002939E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1BE" w:rsidRDefault="00DA01BE" w:rsidP="002939E3">
      <w:pPr>
        <w:spacing w:line="240" w:lineRule="auto"/>
      </w:pPr>
      <w:r>
        <w:separator/>
      </w:r>
    </w:p>
  </w:footnote>
  <w:footnote w:type="continuationSeparator" w:id="0">
    <w:p w:rsidR="00DA01BE" w:rsidRDefault="00DA01BE" w:rsidP="002939E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D0AD6"/>
    <w:multiLevelType w:val="multilevel"/>
    <w:tmpl w:val="2A9D0AD6"/>
    <w:lvl w:ilvl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49F90A06"/>
    <w:multiLevelType w:val="hybridMultilevel"/>
    <w:tmpl w:val="B4EA0E08"/>
    <w:lvl w:ilvl="0" w:tplc="1166E786">
      <w:start w:val="1"/>
      <w:numFmt w:val="japaneseCounting"/>
      <w:lvlText w:val="%1、"/>
      <w:lvlJc w:val="left"/>
      <w:pPr>
        <w:ind w:left="1440" w:hanging="720"/>
      </w:pPr>
      <w:rPr>
        <w:rFonts w:eastAsia="方正黑体简体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08830EB"/>
    <w:multiLevelType w:val="hybridMultilevel"/>
    <w:tmpl w:val="B4EA0E08"/>
    <w:lvl w:ilvl="0" w:tplc="1166E786">
      <w:start w:val="1"/>
      <w:numFmt w:val="japaneseCounting"/>
      <w:lvlText w:val="%1、"/>
      <w:lvlJc w:val="left"/>
      <w:pPr>
        <w:ind w:left="1440" w:hanging="720"/>
      </w:pPr>
      <w:rPr>
        <w:rFonts w:eastAsia="方正黑体简体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23F095B"/>
    <w:multiLevelType w:val="hybridMultilevel"/>
    <w:tmpl w:val="B4EA0E08"/>
    <w:lvl w:ilvl="0" w:tplc="1166E786">
      <w:start w:val="1"/>
      <w:numFmt w:val="japaneseCounting"/>
      <w:lvlText w:val="%1、"/>
      <w:lvlJc w:val="left"/>
      <w:pPr>
        <w:ind w:left="1440" w:hanging="720"/>
      </w:pPr>
      <w:rPr>
        <w:rFonts w:eastAsia="方正黑体简体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663F5726"/>
    <w:multiLevelType w:val="hybridMultilevel"/>
    <w:tmpl w:val="96081C02"/>
    <w:lvl w:ilvl="0" w:tplc="11CAE43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60"/>
  <w:drawingGridVerticalSpacing w:val="435"/>
  <w:noPunctuationKerning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F63EC"/>
    <w:rsid w:val="0006148C"/>
    <w:rsid w:val="000E13C7"/>
    <w:rsid w:val="000F21C1"/>
    <w:rsid w:val="001C2990"/>
    <w:rsid w:val="001D460E"/>
    <w:rsid w:val="00276216"/>
    <w:rsid w:val="002939E3"/>
    <w:rsid w:val="002A318B"/>
    <w:rsid w:val="002A6FA6"/>
    <w:rsid w:val="002C17BF"/>
    <w:rsid w:val="003140FF"/>
    <w:rsid w:val="00334131"/>
    <w:rsid w:val="00334F77"/>
    <w:rsid w:val="0034026F"/>
    <w:rsid w:val="00390771"/>
    <w:rsid w:val="003D2B80"/>
    <w:rsid w:val="003D331E"/>
    <w:rsid w:val="00432907"/>
    <w:rsid w:val="004470B5"/>
    <w:rsid w:val="0045542C"/>
    <w:rsid w:val="00486B6C"/>
    <w:rsid w:val="004A726F"/>
    <w:rsid w:val="004B1E27"/>
    <w:rsid w:val="004E3375"/>
    <w:rsid w:val="004E3BC7"/>
    <w:rsid w:val="00522A41"/>
    <w:rsid w:val="00583A8E"/>
    <w:rsid w:val="00597593"/>
    <w:rsid w:val="005A629A"/>
    <w:rsid w:val="005B7EE1"/>
    <w:rsid w:val="005D378B"/>
    <w:rsid w:val="00630B4E"/>
    <w:rsid w:val="006E097B"/>
    <w:rsid w:val="007518BD"/>
    <w:rsid w:val="00767D36"/>
    <w:rsid w:val="007856BD"/>
    <w:rsid w:val="007F63EC"/>
    <w:rsid w:val="00830A9A"/>
    <w:rsid w:val="008766C4"/>
    <w:rsid w:val="00950636"/>
    <w:rsid w:val="00986951"/>
    <w:rsid w:val="0099697D"/>
    <w:rsid w:val="009B187D"/>
    <w:rsid w:val="009B6DD5"/>
    <w:rsid w:val="009D7DCF"/>
    <w:rsid w:val="009E1DFA"/>
    <w:rsid w:val="00A03E35"/>
    <w:rsid w:val="00A861C7"/>
    <w:rsid w:val="00AC2469"/>
    <w:rsid w:val="00AD005A"/>
    <w:rsid w:val="00AD1748"/>
    <w:rsid w:val="00AD77FB"/>
    <w:rsid w:val="00AE1F43"/>
    <w:rsid w:val="00AE4B8C"/>
    <w:rsid w:val="00BA4FD2"/>
    <w:rsid w:val="00BF1C9A"/>
    <w:rsid w:val="00C50ED2"/>
    <w:rsid w:val="00C53288"/>
    <w:rsid w:val="00C56AB2"/>
    <w:rsid w:val="00C80943"/>
    <w:rsid w:val="00CC4609"/>
    <w:rsid w:val="00D042FD"/>
    <w:rsid w:val="00D04CE2"/>
    <w:rsid w:val="00D04E44"/>
    <w:rsid w:val="00D56B63"/>
    <w:rsid w:val="00DA01BE"/>
    <w:rsid w:val="00DD71F0"/>
    <w:rsid w:val="00E31944"/>
    <w:rsid w:val="00E50E55"/>
    <w:rsid w:val="00E744F2"/>
    <w:rsid w:val="00E761AD"/>
    <w:rsid w:val="00EB4789"/>
    <w:rsid w:val="00F34898"/>
    <w:rsid w:val="00F51CCC"/>
    <w:rsid w:val="00F90817"/>
    <w:rsid w:val="00FA2E1C"/>
    <w:rsid w:val="00FD2C7A"/>
    <w:rsid w:val="12F77286"/>
    <w:rsid w:val="142717C1"/>
    <w:rsid w:val="14F06BD1"/>
    <w:rsid w:val="232F24C3"/>
    <w:rsid w:val="31E97FB4"/>
    <w:rsid w:val="354E6CD5"/>
    <w:rsid w:val="376B062E"/>
    <w:rsid w:val="3B822550"/>
    <w:rsid w:val="422465EA"/>
    <w:rsid w:val="448C4F46"/>
    <w:rsid w:val="485B2BE9"/>
    <w:rsid w:val="52F37082"/>
    <w:rsid w:val="68016B5C"/>
    <w:rsid w:val="738F38E9"/>
    <w:rsid w:val="7401544F"/>
    <w:rsid w:val="79D61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rsid w:val="00D04E44"/>
    <w:pPr>
      <w:spacing w:line="600" w:lineRule="exact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uiPriority w:val="9"/>
    <w:qFormat/>
    <w:rsid w:val="00D04E44"/>
    <w:pPr>
      <w:keepNext/>
      <w:keepLines/>
      <w:spacing w:line="413" w:lineRule="auto"/>
      <w:outlineLvl w:val="2"/>
    </w:pPr>
    <w:rPr>
      <w:rFonts w:ascii="Calibri" w:hAnsi="Calibri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04E44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D04E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rsid w:val="00D04E44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sid w:val="00D04E4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04E44"/>
    <w:rPr>
      <w:sz w:val="18"/>
      <w:szCs w:val="18"/>
    </w:rPr>
  </w:style>
  <w:style w:type="character" w:customStyle="1" w:styleId="font01">
    <w:name w:val="font01"/>
    <w:basedOn w:val="a0"/>
    <w:rsid w:val="00D04E44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sid w:val="00D04E44"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6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AFF924-CEFB-4C08-BD06-4567DF4E4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278</Words>
  <Characters>1590</Characters>
  <Application>Microsoft Office Word</Application>
  <DocSecurity>0</DocSecurity>
  <Lines>13</Lines>
  <Paragraphs>3</Paragraphs>
  <ScaleCrop>false</ScaleCrop>
  <Company>XJCZT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CurUserName</dc:creator>
  <cp:lastModifiedBy>Administrator</cp:lastModifiedBy>
  <cp:revision>19</cp:revision>
  <dcterms:created xsi:type="dcterms:W3CDTF">2019-07-25T11:43:00Z</dcterms:created>
  <dcterms:modified xsi:type="dcterms:W3CDTF">2021-08-09T05:43:00Z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