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自治区公共卫生服务（地方公共卫生）补助资金项目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疏勒县卫生健康委员会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丁建新</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2023年01月14日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自治区财政厅《关于提前下达2022年自治区公共卫生服务（地方公共卫生）补助资金预算的通知》（新财社〔2021〕312号）文件，现提前下达你县（市、单位）2022年自治区公共卫生服务补助资金，旨在评价蔬菜产业园项目实施前期、过程及效果，评价财政预算资金使用的效率及效益。通过该项目的实施，严格按照《自治区公共卫生服务（地方公共卫生）补助资金预算的通知》要求，全县以推进地方公共卫生服务项目精细化服务管理为重点，以强化服务能力建设为支撑，以完善项目运转和考核奖惩机制为保障，进一步提升地方公共卫生服务项目质量，有效预防和控制传染病及慢性病，不断提高人民群众健康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疏勒县卫健委为事业单位，纳入2022年部门决算编制范围的有7个科室：行政科室、公共卫生综合科室、科教科、医政药政科、核算中心、计生卫生科、项目办公室、党建办公室。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编制人数11人，其中：行政人员编制3人、事业编制8人。实有在职人数14人，其中：行政在职2人、事业在职12人。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全面落实全民体检惠民工程，充分做好前期准备工作。制定了《2022年全民健康体检实施方案》，全县设置了医疗机构检查点17个，组织了340名医务人员参与体检工作。疏勒县2022年度体检对象309287人，体检完成人数  306942人。体检完成率99.24 %。其中：0-6岁儿童25253人，7岁以上在校学生90847人， 15-64岁城乡居民168697人，65-79岁城乡居民16688人，80岁以上城乡居民2530人，流动人口77人，企业退休80人，公职人员2770人；二是强化培训，提高医务人员专业技能。为确保我县全民健康体检工作的顺利开展，疏勒县卫健委领导高度重视医务人员培训工作，结合实际，在全民健康体检工作开始的前期和中期集中组织各承检医疗机构参与体检工作的（内外、五官、化验室、B超室、心电图、放射科）医务人员，在县级医疗机构和地区、自治区采取实践技能和业务理论培训的方式就体检流程、项目、标准和技术操作规范等方面进行全面培训。如：① 2021年初，为准备2022年全民健康体检工作，第一轮培训从1月4日至1月14日共14天，第二轮培训从1月18日至1月31日在疏勒县人民医院对各承检单位将参与全民健康体检工作的共160名医务工作者进行实践技能培训，做到参与体检工作人员培训全覆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喀地财社【2021】95号共安排下达资金1547.27万元，为1547.27资金，最终确定项目资金总数为1547.27万元。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截至2022年12月31日，实际支出1242.04万元，预算执行率80.27%。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财政厅《关于提前下达2022年自治区公共卫生服务（地方公共卫生）补助资金预算的通知》（新财社〔2021〕312号）文件，现提前下达你县（市、单位）2022年自治区公共卫生服务补助资金1547.27万元，主要用于全民健康体检。最终达到不断缩小城乡居民公共卫生服务差距，不断提高地方公共卫生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1、按照要求地方公共卫生制度相关政策业务学习，规范其执业行为，明确了基层医疗机构的功能定位。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2、由疏勒县卫生健康委员会卫健委书记阿丽古丽·坎吉、丁建新、依哈巴来、古海尔、热孜宛古等人员组成评价组。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3、评级工作组采取“年初绩效目标预定与实施效果比较法”进行评价，评价指标体系以绩效目标申报指标为依据。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制定。对于定性指标，通过系统查看、问卷调查等方式，采集相关数据等级描述法，设置分级标准，体现该指标认可程度的差异。对于定量指标，通过公式等方式予以量化，可以准确衡量，并设定目标值的考核指标。绩效评价体系、标准等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本次评价成立了评价工作组，成员如下：阿丽古丽·砍吉、丁建新、依哈巴来、古海尔等。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阿丽古丽·坎吉任评价组组长，绩效评价工作职责为负责全盘工作。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丁建新任评价组副组长，绩效评价工作职责为为对项目实施情况进行实地调查。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依哈巴来、古海尔任评价组成员，绩效评价工作职责为负责资料审核等工作。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经评价组通过实地调研、综合分析法、问卷调查法等方式，主要采用实地查看、查看系统、综合分析法对项目的决策、实施、产出、效益进行综合评价分析，最终评分98.24分。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该项目最终评分99分，绩效评级为“优”，具体得分情况为：其中项目决策20分、项目过程19分、项目产出39.24分、项目效益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2022年全民健康体检已完成154727人，推动了项目档案资料的整理，推动了居民健康水平提高。该项目最终评分98.24分，绩效评级为“优”。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委按照要求随同部门决算向本级财政部门报送绩效自评结果。我委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我委财政部门、预算部门按照要求将绩效评价结果分别编入政府决算和本部门决算，报送本级人民代表大会常务委员会，并依法予以公开。我局完全按此要求执行。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部门绩效档案应包括以下内容：我委制定的规章制度、项目的立项批复、部门目标申报表、行业部门预算表、部门绩效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我县实际情况，根据自治区财政厅《关于提前下达2022年自治区公共卫生服务（地方公共卫生）补助资金预算的通知》（新财社〔2021〕312号）文件要求。围绕疏勒县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（3）绩效目标合理性：成立了疏勒县地方公共卫生服务项目绩效考核领导小组，明确了总体思路及目标、并对任务进行了详细分解，对目标进行了细化，根据评分标准，该指标不扣分，得3分。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将基本公共卫生服务中央补助项目绩效目标细化分解为具体的绩效指标，根据评分标准，该指标不扣分，得2分。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预算编制经过科学论证，内容与基本公共卫生服务中央补助项目内容匹配，项目投资额与工作任务相匹配，根据评分标准，该指标不扣分，得5分。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5个三级指标构成，权重分为20分，该指标扣1分实际得分19分，得分率95%。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（2）预算执行率：预算编制较为详细，项目资金支出总体能够按照预算执行，根据评分标准，该指标扣1分，得4分。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（3）资金使用合规性：严格按照中央、自治区和喀什地区项目资金管理办法的要求和管理规定对经费使用进行规范管理，财务制度健全、执行严格，根据评分标准，该指标不扣分，得5分。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（4）管理制度健全性：制定了卫健委相关管理办法，对财政专项资金进行严格管理，基本做到了专款专用，根据评分标准，该指标不扣分，得2分。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补助预算支出可行性方案，经过与县政府分管领导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项目产出类指标包括产出数量、产出质量、产出时效、产出成本四方面的内容，由4个三级指标构成，权重分为40分，实际得分39.24分，得分率为98.1%。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15-64岁免费体检居民人数大于等于154727人，根据新疆维吾尔自治区卫生健康委员会基层医疗机构管理信息系统中全民健康体检统计模块得出数据，与预期目标一致，根据评分标准，该指标不扣分，得2分。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全民健康体检业务指导次数大于等于4次、根据年初制定的督导方案得出的数据，与预期目标一致，根据评分标准，该指标不扣分，得2分。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涉及乡镇医疗机构数量大于等于14家。根据年初指定的体检经费分配方案得出的数据，与预期目标一致，根据评分标准，该指标不扣分，得2分。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涉及县级医疗机构数量大于等于2家。根据年初指定的体检经费分配方案得出的数据，与预期目标一致，根据评分标准，该指标不扣分，得2分。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县级培训次数大于等于2次、根据年初制定的培训方案得出的数据，与预期目标一致，根据评分标准，该指标不扣分，得2分。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全民免费体检覆盖率大于等于99%，根据新疆维吾尔自治区卫生健康委员会基层医疗机构管理信息系统中全民健康体检统计模块得出数据，与预期目标一致，根据评分标准，该指标不扣分，得3分。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资金使用合规率等于100%，根据财政大平台系统得出数据，与预期目标一致，根据评分标准，该指标不扣分，得2分。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居民健康档案规范化电子建档率大于等于83%，根据新疆维吾尔自治区卫生健康委员会基层医疗机构管理信息系统中国家基本公卫2.0模块得出数据，与预期目标一致，根据评分标准，该指标不扣分，得5分。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民健康体检完成及时率等于100%、根据新疆维吾尔自治区卫生健康委员会基层医疗机构管理信息系统中全民健康体检统计模块得出数据，实际完成率99.24%，与预期目标指标不一致，根据评分标准，该指标扣0.76分，得9.24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合计得分9.24分。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15-64岁免费体检居民费用等于100元/人，根据2022年全民健康体检实施方案得出，与预期目标一致，根据评分标准，该指标不扣分，得10分。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提高居民健康健保意识，根据全民健康体检健康调查问卷，与预期指标一致，根据评分标准，该指标不扣分，得10分。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对于“满意度指标：受益城乡居民满意度大于等于95%，根据全民健康体检满意度调查问卷，与预期目标一致，根据评分标准，该指标不扣分,得10分。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合计得分20分。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疏勒县卫健委2022年自治区公共卫生服务（地方公共卫生）项目预算1547.27万元，到位1547.27万元，实际支出1242.04万元，预算执行率为80.27%，项目绩效指标总体完成率为100%。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和总体完成率的偏差为：19.73%。偏出去原因：因防疫工作的影响未按时支出，采取的措施：一是项目建设的程序进一步规范。二是项目前期做好可行性研究报告，更加细化实施方案，严格执行资金管理办法和财政资金管理制度，严格按照项目实施方案开展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高位推动，有序组织。按照《喀什地区2022年全民健康体检实施方案》工作要求，制定了《疏勒县2022年全民健康体检实施方案》，召开了动员安排部署会，强化全民健康体检工作的组织实施、人员培训、督促落实等工作。按照“谁的人、谁负责”的机制落实主体责任，执行“谁体检、谁负责”的要求落实责任。二是抓好宣传，营造氛围。宣传发动通过村医将全民健康体检宣传资料和通知单发放入户，并将全民体检通知单张贴在各村、社区的交通要道。共计发放健康体检通知单85000份，张贴全民体检宣传海报30000份，全民健康体检知晓率95%。通过各种宣传形式，营造了良好的全民健康体检氛围。三是在总结往年经验，做好疫情防控的基础上，各承检医疗机构因地制宜，因人施策，确保健康信息数据采集全面、真实、可靠，采取集中体检方式开展全民健康体检，对行动不便的高龄老人、残疾人等特殊群体提供上门服务，保障全民健康体检工作有有效开展。四是通过全民健康体检，让群众健康意识得到不断提升，获得感明显增强，同时提高辖区居民的健康意识和健康生活方式，及辖区居民的综合素养，从而对慢性病做到“早发现、早诊断、早治疗”，切实维护群众健康利益，为实现社会稳定和长治久安总目标，建设团结和谐、繁荣富强疏勒打下坚实的健康基础。跟踪随访，个体化服务。按照普遍指导和个体化制动服务相结合的原则，根据检查结果，为群众提供有针对性的健康指导，同时对检查结果异常人员进行综合分析，提出个体化的健康指导意见，对体检发现的高血压、糖尿病、精神病、结核病按慢性病管理原则进行规范化的健康指导、跟踪随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基层承检医疗机构筛查力不够。二是对各项指标和指标值要进一步优化、完善，主要在细化、量化上改进，三是自评价工作还存在自我审定的局限性，会影响评价质量，容易造成问题的疏漏，在客观性和公正性上说服力不强，四是缺少带着问题去评价的意识，五是现场评价的工作量少，后续效益评价具体措施和方法较少。六是加大进一步引进医疗卫生专业技术人才，提高服务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1.项目建设的程序进一步规范。项目前期做好可行性研究报告，更加细化实施方案，严格执行资金管理办法和财政资金管理制度，严格按照项目实施方案开展工作。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3.通过绩效管理，发现实施中存在漏洞，以后加强管理，及时掌握与之相关的各类信息，确保保质保量完成任务。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4、严格按照自治区地方公共卫生服务工作要求，一是加强基层医务人员业务水平，提高服务能力；二是进一步加强技术指导工作，及时发现问题、及时整改；三是做好年初计划，加强项目完成情况监督。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BC03E3-5B6A-40F2-A521-995AD23FF8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754F15A-082D-4E6E-83AC-C8565CA1E94B}"/>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70491BB2-131A-4F46-B17F-B564289B26F7}"/>
  </w:font>
  <w:font w:name="仿宋_GB2312">
    <w:altName w:val="仿宋"/>
    <w:panose1 w:val="00000000000000000000"/>
    <w:charset w:val="86"/>
    <w:family w:val="modern"/>
    <w:pitch w:val="default"/>
    <w:sig w:usb0="00000000" w:usb1="00000000" w:usb2="00000000" w:usb3="00000000" w:csb0="00040000" w:csb1="00000000"/>
    <w:embedRegular r:id="rId4" w:fontKey="{1F69ABF0-94C5-43EB-91FE-12E1DB87E982}"/>
  </w:font>
  <w:font w:name="楷体">
    <w:panose1 w:val="02010609060101010101"/>
    <w:charset w:val="86"/>
    <w:family w:val="modern"/>
    <w:pitch w:val="default"/>
    <w:sig w:usb0="800002BF" w:usb1="38CF7CFA" w:usb2="00000016" w:usb3="00000000" w:csb0="00040001" w:csb1="00000000"/>
    <w:embedRegular r:id="rId5" w:fontKey="{8A939185-056B-43F9-A605-2337DA831B85}"/>
  </w:font>
  <w:font w:name="方正仿宋_GBK">
    <w:panose1 w:val="02000000000000000000"/>
    <w:charset w:val="86"/>
    <w:family w:val="auto"/>
    <w:pitch w:val="default"/>
    <w:sig w:usb0="A00002BF" w:usb1="38CF7CFA" w:usb2="00082016" w:usb3="00000000" w:csb0="00040001" w:csb1="00000000"/>
    <w:embedRegular r:id="rId6" w:fontKey="{0869F90B-AF5E-46F8-AA29-D65BF7DE2E33}"/>
  </w:font>
  <w:font w:name="仿宋">
    <w:panose1 w:val="02010609060101010101"/>
    <w:charset w:val="86"/>
    <w:family w:val="modern"/>
    <w:pitch w:val="default"/>
    <w:sig w:usb0="800002BF" w:usb1="38CF7CFA" w:usb2="00000016" w:usb3="00000000" w:csb0="00040001" w:csb1="00000000"/>
    <w:embedRegular r:id="rId7" w:fontKey="{7582068C-795C-49F4-8E58-1B158BBEF3B1}"/>
  </w:font>
  <w:font w:name="方正楷体_GBK">
    <w:altName w:val="微软雅黑"/>
    <w:panose1 w:val="00000000000000000000"/>
    <w:charset w:val="86"/>
    <w:family w:val="auto"/>
    <w:pitch w:val="default"/>
    <w:sig w:usb0="00000000" w:usb1="00000000" w:usb2="00000000" w:usb3="00000000" w:csb0="00040000" w:csb1="00000000"/>
    <w:embedRegular r:id="rId8" w:fontKey="{319DE8CE-1DC9-47BE-BEE5-094E9959F3C4}"/>
  </w:font>
  <w:font w:name="方正黑体_GBK">
    <w:altName w:val="微软雅黑"/>
    <w:panose1 w:val="00000000000000000000"/>
    <w:charset w:val="86"/>
    <w:family w:val="auto"/>
    <w:pitch w:val="default"/>
    <w:sig w:usb0="00000000" w:usb1="00000000" w:usb2="00000000" w:usb3="00000000" w:csb0="00040000" w:csb1="00000000"/>
    <w:embedRegular r:id="rId9" w:fontKey="{FFD04231-D79E-4848-9290-4488F4B29A38}"/>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0A980958"/>
    <w:rsid w:val="2AE11386"/>
    <w:rsid w:val="2D5A6638"/>
    <w:rsid w:val="4609551D"/>
    <w:rsid w:val="4D2606A1"/>
    <w:rsid w:val="4DD42C22"/>
    <w:rsid w:val="5DA70C36"/>
    <w:rsid w:val="716B6B6A"/>
    <w:rsid w:val="79BC675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2023-11-03T09:25:59Z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14053FA0A3BD42969650689695578241_12</vt:lpwstr>
  </property>
</Properties>
</file>