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D2C88C">
      <w:pPr>
        <w:spacing w:line="570" w:lineRule="exact"/>
        <w:jc w:val="center"/>
        <w:rPr>
          <w:rFonts w:ascii="华文中宋" w:hAnsi="华文中宋" w:eastAsia="华文中宋" w:cs="宋体"/>
          <w:b/>
          <w:kern w:val="0"/>
          <w:sz w:val="52"/>
          <w:szCs w:val="52"/>
        </w:rPr>
      </w:pPr>
    </w:p>
    <w:p w14:paraId="246CBDD0">
      <w:pPr>
        <w:spacing w:line="570" w:lineRule="exact"/>
        <w:jc w:val="center"/>
        <w:rPr>
          <w:rFonts w:ascii="华文中宋" w:hAnsi="华文中宋" w:eastAsia="华文中宋" w:cs="宋体"/>
          <w:b/>
          <w:kern w:val="0"/>
          <w:sz w:val="52"/>
          <w:szCs w:val="52"/>
        </w:rPr>
      </w:pPr>
    </w:p>
    <w:p w14:paraId="0948D12C">
      <w:pPr>
        <w:spacing w:line="570" w:lineRule="exact"/>
        <w:jc w:val="center"/>
        <w:rPr>
          <w:rFonts w:ascii="华文中宋" w:hAnsi="华文中宋" w:eastAsia="华文中宋" w:cs="宋体"/>
          <w:b/>
          <w:kern w:val="0"/>
          <w:sz w:val="52"/>
          <w:szCs w:val="52"/>
        </w:rPr>
      </w:pPr>
    </w:p>
    <w:p w14:paraId="3755DF80">
      <w:pPr>
        <w:spacing w:line="570" w:lineRule="exact"/>
        <w:jc w:val="center"/>
        <w:rPr>
          <w:rFonts w:ascii="华文中宋" w:hAnsi="华文中宋" w:eastAsia="华文中宋" w:cs="宋体"/>
          <w:b/>
          <w:kern w:val="0"/>
          <w:sz w:val="52"/>
          <w:szCs w:val="52"/>
        </w:rPr>
      </w:pPr>
    </w:p>
    <w:p w14:paraId="48F6E60B">
      <w:pPr>
        <w:spacing w:line="570" w:lineRule="exact"/>
        <w:jc w:val="both"/>
        <w:rPr>
          <w:rFonts w:ascii="华文中宋" w:hAnsi="华文中宋" w:eastAsia="华文中宋" w:cs="宋体"/>
          <w:b/>
          <w:kern w:val="0"/>
          <w:sz w:val="52"/>
          <w:szCs w:val="52"/>
        </w:rPr>
      </w:pPr>
    </w:p>
    <w:p w14:paraId="2D088A2F">
      <w:pPr>
        <w:spacing w:line="570" w:lineRule="exact"/>
        <w:jc w:val="center"/>
        <w:rPr>
          <w:rFonts w:ascii="华文中宋" w:hAnsi="华文中宋" w:eastAsia="华文中宋" w:cs="宋体"/>
          <w:b/>
          <w:kern w:val="0"/>
          <w:sz w:val="52"/>
          <w:szCs w:val="52"/>
        </w:rPr>
      </w:pPr>
    </w:p>
    <w:p w14:paraId="6410C695">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662BD855">
      <w:pPr>
        <w:spacing w:line="570" w:lineRule="exact"/>
        <w:jc w:val="center"/>
        <w:rPr>
          <w:rFonts w:ascii="华文中宋" w:hAnsi="华文中宋" w:eastAsia="华文中宋" w:cs="宋体"/>
          <w:b/>
          <w:kern w:val="0"/>
          <w:sz w:val="52"/>
          <w:szCs w:val="52"/>
        </w:rPr>
      </w:pPr>
    </w:p>
    <w:p w14:paraId="6C9F85F6">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1D7EB392">
      <w:pPr>
        <w:spacing w:line="570" w:lineRule="exact"/>
        <w:jc w:val="center"/>
        <w:rPr>
          <w:rFonts w:hAnsi="宋体" w:eastAsia="仿宋_GB2312" w:cs="宋体"/>
          <w:kern w:val="0"/>
          <w:sz w:val="30"/>
          <w:szCs w:val="30"/>
        </w:rPr>
      </w:pPr>
    </w:p>
    <w:p w14:paraId="667E294F">
      <w:pPr>
        <w:spacing w:line="570" w:lineRule="exact"/>
        <w:jc w:val="center"/>
        <w:rPr>
          <w:rFonts w:hAnsi="宋体" w:eastAsia="仿宋_GB2312" w:cs="宋体"/>
          <w:kern w:val="0"/>
          <w:sz w:val="30"/>
          <w:szCs w:val="30"/>
        </w:rPr>
      </w:pPr>
    </w:p>
    <w:p w14:paraId="02B6CFA4">
      <w:pPr>
        <w:spacing w:line="570" w:lineRule="exact"/>
        <w:jc w:val="center"/>
        <w:rPr>
          <w:rFonts w:hAnsi="宋体" w:eastAsia="仿宋_GB2312" w:cs="宋体"/>
          <w:kern w:val="0"/>
          <w:sz w:val="30"/>
          <w:szCs w:val="30"/>
        </w:rPr>
      </w:pPr>
    </w:p>
    <w:p w14:paraId="7394E543">
      <w:pPr>
        <w:spacing w:line="570" w:lineRule="exact"/>
        <w:jc w:val="center"/>
        <w:rPr>
          <w:rFonts w:hAnsi="宋体" w:eastAsia="仿宋_GB2312" w:cs="宋体"/>
          <w:kern w:val="0"/>
          <w:sz w:val="30"/>
          <w:szCs w:val="30"/>
        </w:rPr>
      </w:pPr>
    </w:p>
    <w:p w14:paraId="1D48EF6E">
      <w:pPr>
        <w:spacing w:line="570" w:lineRule="exact"/>
        <w:jc w:val="center"/>
        <w:rPr>
          <w:rFonts w:hAnsi="宋体" w:eastAsia="仿宋_GB2312" w:cs="宋体"/>
          <w:kern w:val="0"/>
          <w:sz w:val="30"/>
          <w:szCs w:val="30"/>
        </w:rPr>
      </w:pPr>
    </w:p>
    <w:p w14:paraId="5FC81FB2">
      <w:pPr>
        <w:spacing w:line="570" w:lineRule="exact"/>
        <w:jc w:val="center"/>
        <w:rPr>
          <w:rFonts w:hAnsi="宋体" w:eastAsia="仿宋_GB2312" w:cs="宋体"/>
          <w:kern w:val="0"/>
          <w:sz w:val="30"/>
          <w:szCs w:val="30"/>
        </w:rPr>
      </w:pPr>
    </w:p>
    <w:p w14:paraId="5E903363">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重点生态领域项目</w:t>
      </w:r>
    </w:p>
    <w:p w14:paraId="1C317686">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喀什地区生态环境局疏勒县分局（本级）</w:t>
      </w:r>
    </w:p>
    <w:p w14:paraId="59A14E85">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疏勒县人民政府</w:t>
      </w:r>
    </w:p>
    <w:p w14:paraId="1FEE6FC6">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阿尔祖古丽</w:t>
      </w:r>
    </w:p>
    <w:p w14:paraId="4A65D05A">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2024年03月16日</w:t>
      </w:r>
    </w:p>
    <w:p w14:paraId="1442D951">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5231C6A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7928B92B">
      <w:pPr>
        <w:spacing w:line="540" w:lineRule="exact"/>
        <w:ind w:firstLine="567"/>
        <w:rPr>
          <w:rStyle w:val="18"/>
          <w:rFonts w:hint="eastAsia" w:ascii="楷体" w:hAnsi="楷体" w:eastAsia="楷体" w:cs="楷体"/>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741BE35C">
      <w:pPr>
        <w:spacing w:line="540" w:lineRule="exact"/>
        <w:ind w:firstLine="567"/>
        <w:rPr>
          <w:rStyle w:val="18"/>
          <w:rFonts w:ascii="仿宋" w:hAnsi="仿宋" w:eastAsia="仿宋" w:cs="仿宋"/>
          <w:b w:val="0"/>
          <w:bCs w:val="0"/>
          <w:spacing w:val="-4"/>
          <w:sz w:val="32"/>
          <w:szCs w:val="32"/>
        </w:rPr>
      </w:pPr>
      <w:bookmarkStart w:id="0" w:name="_GoBack"/>
      <w:bookmarkEnd w:id="0"/>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为了强化空气质量优化工作，持续推进环境质量自动监测网建设，加强空气质量监测，加强重点生态功能区县域生态环境质量检测评价与考核工作（简称县域考核），贯彻落实《排污许可管理条例》，强化污染源监管，加强机构和人才队伍建设，强化质量管理，提高数据质量，加强作风建设，开展职业道德教育，打造生态保护铁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计划主要实施内容重点生态领域项目有5个，为重点生态领域监测、重点生态领域执法监测、普法宣传经费、国家级疏勒县自动水质监测站升级改造维护、编制各类环境应急预案，保障水站数量。通过实施本项目进一步提升县域内及周边农村的水、土、气的有效监控效能，有效监测县域内环境质量的变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喀什地区生态环境局疏勒县分局为行政单位，纳入2023年部门决算编制范围的有2个办公室：办公室和综合办公室。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编制人数15人，其中：行政人员编制4人、工勤1人、参公4人、事业编制6人。实有在职人数12人，其中：行政在职4人、参公2人、事业在职6人。离退休人员3人，其中：行政退休人员3人、县聘人员2人。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《关于提前下达2022年重点生态功能区转移支付预算的通知》（喀地财预【2021】34号）文件共安排下达资金100万元，为专项资金，最终确定项目资金总数为100万元。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截至2023年12月31日，实际支出100万元，预算执行率100%。</w:t>
      </w:r>
    </w:p>
    <w:p w14:paraId="538AC5FD">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6A535A4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年初总体目标为：为强化空气质量优化工作，持续推进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环境质量自动监测网建设，加强空气质量监测，加强重点生态功能区县域生态环境质量检测评价与考核工作（简称县域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考核），贯彻落实《排污许可管理条例》，强化污染源监管，加强机构和人才队伍建设，强化质量管理，提高数据质量，加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强作风建设，开展职业道德教育，打造生态保护铁军。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实施的前期准备工作：做重点生态领域项目采购计划；</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具体实施工作：具体开展招标采购重点生态领域项目相关事宜；确定中标单位后逐步开展各类环境的监测。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验收阶段的具体工作：由上级部门针对监测结果及各项监测报告进行验收并归档。</w:t>
      </w:r>
    </w:p>
    <w:p w14:paraId="6E76B15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4BE7DB22">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65A46C6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7C086BF6">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5EF6881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14:paraId="3AFD7C9E">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39A1663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阿尔祖古丽任评价组组长，绩效评价工作职责为负责全盘工作。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刘婉任评价组副组长，绩效评价工作职责为为对项目实施情况进行实地调查。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李旭任评价组成员，绩效评价工作职责为负责资料审核等工作。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63A40FAD">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19D626B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通过实施重点功能区生态项目强化空气质量优化工作，持续推进环境质量自动监测网建设，加强空气质量监测，加强重点生态功能区县域生态环境质量检测评价与考核工作（简称县域考核），贯彻落实《排污许可管理条例》，强化污染源监管，加强机构和人才队伍建设，强化质量管理，提高数据质量，加强作风建设，开展职业道德教育，打造生态保护铁军。项目实施主要通过项目决策、项目过程、项目产出以及项目效益等方面进行评价，其中：项目决策：该项目主要通过《关于提前下达2022年重点生态功能区转移支付预算的通知》（喀地财预【2021】34号）文件立项，项目实施符合文件要求，项目立项依据充分，立项程序规范。 项目过程：重点生态领域项目预算安排100万元，实际支出100万元，预算执行率100%。项目资金使用合规，项目财务管理制度健全，财务监控到位，所有资金支付均按照国库集中支付制度严格执行，现有项目管理制度执行情况良好。项目产出：主要完成了重点生态领域项目有5个，为重点生态领域监测、重点生态领域执法监测、普法宣传经费、国家级疏勒县自动水质监测站升级改造维护、编制各类环境应急预案，保障1个水站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项目效益：通过实施此项目切实提高县域内及周边农村的水、土、气的监控效能，实时监测地表水达三类水体情况，保障县域群众的饮水安全。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重点生态领域项目进行客观评价，最终评分结果：评价总分100分，绩效等级为“优”。</w:t>
      </w:r>
    </w:p>
    <w:p w14:paraId="2BFA2490">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365C9B8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2AED35E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（1）立项依据充分性：结合项目文件要求，并组织实施。围绕2023年度工作重点和工作计划制定经费预算，根据评分标准，该指标不扣分，得3分。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（2）立项程序规范性：根据决策依据编制工作计划和经费预算，经过与县分管领导进行沟通、筛选确定经费预算计划，上党委会研究确定最终预算方案，根据评分标准，该指标不扣分，得2分。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（3）绩效目标合理性：根据项目文件要求，制定了实施方案，明确了总体思路及目标、并对任务进行了详细分解，对目标进行了细化，根据评分标准，该指标不扣分，得3分。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（6）资金分配合理性：资金分配与实际相适应，根据评分标准，该指标不扣分，得2分。</w:t>
      </w:r>
    </w:p>
    <w:p w14:paraId="3182C54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70D013D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县政府分管领导沟通后，报党组会议研究执行，财务对资金的使用合法合规性进行监督，年底对资金使用效果进行自评，根据评分标准，该指标不扣分，得3分。</w:t>
      </w:r>
    </w:p>
    <w:p w14:paraId="252B30E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517C66F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项目产出类指标包括产出数量、产出质量、产出时效三方面的内容，由3个三级指标构成，权重分为40分，实际得分40分，得分率为100%。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重点生态领域项目监测数量指标，预期指标值为大于等于5个，实际完成值为5个，指标完成率为100%，与预期目标一致，根据评分标准，该指标不扣分，得5分。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保障水站数量指标，预期指标值为1个，实际完成值为1个，指标完成率为100%，与预期目标一致，根据评分标准，该指标不扣分，得5分。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环境监测质量合格率指标，预期指标值为大于等于95%，实际完成值为95%，指标完成率为100%，与预期目标一致，根据评分标准，该指标不扣分，得5分。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水站监测综合运行率指标，预期指标值为大于等于95%，实际完成值为95%，指标完成率为100%，与预期目标一致，根据评分标准，该指标不扣分，得5分。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资金支付及时率指标，预期指标值为等于100%，实际完成值为100%，指标完成率为100%，与预期目标一致，根据评分标准，该指标不扣分，得10分。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（四）项目成本情况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项目成本类指标包括经济成本方面的内容，由3个三级指标构成，权重分为20分，实际得分20分，得分率为100%。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（1）对于“经济成本”：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预算成本控制率小于等于100%，项目经费都能控制绩效目标范围内，根据评分标准，该指标不扣分，得20分。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（2）对于“社会成本”：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（3）对于“生态环境成本”：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p>
    <w:p w14:paraId="5288EAE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019A67F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（五）项目效益情况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项目效益类指标包括项目效益1个方面的内容，由1个三级指标构成，权重分为20分，实际得分20分，得分率为100%。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县域内及周边农村的水、土、气的监控效能指标，该指标预期指标值为提高，实际完成值为提高，指标完成率为100%，与预期指标一致，根据评分标准，该指标不扣分，得10分。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地表水达三类水体比例指标，该指标预期指标值为大于等于95%，实际完成值为等于95%，指标完成率为100%，与预期指标一致，根据评分标准，该指标不扣分，得10分。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（六）满意度指标完成情况分析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对于“满意度指标：县域群众满意度等于100%，该指标预期指标值为100%，实际完成值为100%，指标完成率为100%，与预期目标一致，根据评分标准，该指标不扣分,得10分。</w:t>
      </w:r>
    </w:p>
    <w:p w14:paraId="6B6FF03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67171957">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重点生态领域项目预算100万元，到位100万元，实际支出100万元，预算执行率为100%，项目绩效指标总体完成率为100%，偏差率为0%。</w:t>
      </w:r>
    </w:p>
    <w:p w14:paraId="1CA0FF40">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5AA0621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一是领导重视。单位实施项目前需对项目内容与项目负责人进行细化研究。并针对项目实施内容做好市场调研，确保项目资金使用的效率及效益。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管理规范。项目的实施需做项目实施方案，在项目实施工程中，严格按照项目管理相关文件的要求，尽职尽责履行工作职能，对项目推进过程中出现的问题及时进行沟通、整改，尽早拿出解决措施加以应对，确保项目顺利进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重点生态领域项目涵盖内容较多，除了加强重点生态功能区县域生态环境质量检测评价与考核工作内容外，还需推进环境质量自动监测网建设，宣传环境保护的各类规章制度，贯彻落实《排污许可管理条例》，强化污染源监管，加强机构和人才队伍建设，提高环境质量，打造生态保护铁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在重点生态领域项目实施的过程中需及时收集、保存各时间段的相关监测数据、项目实施资料，以便后期备查无资料。    实施该项目过程存在采购过程中预算不够精准的情况，后期实际操作过程资金分配不到位。节约意识不够，对招标采购的合理使用需要待提高。</w:t>
      </w:r>
    </w:p>
    <w:p w14:paraId="1298541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413502B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加强了解重点生态领域项目内容，深入学习上级下发的项目管理及资金使用办法等文件，深刻总结经验，增强单位经费涉及资金的前瞻性，充分运用好项目资金，使其不闲置，效益能充分发挥。</w:t>
      </w:r>
    </w:p>
    <w:p w14:paraId="2239978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16F1ABC2">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4682943">
        <w:pPr>
          <w:pStyle w:val="12"/>
          <w:jc w:val="center"/>
        </w:pPr>
        <w:r>
          <w:fldChar w:fldCharType="begin"/>
        </w:r>
        <w:r>
          <w:instrText xml:space="preserve">PAGE   \* MERGEFORMAT</w:instrText>
        </w:r>
        <w:r>
          <w:fldChar w:fldCharType="separate"/>
        </w:r>
        <w:r>
          <w:rPr>
            <w:lang w:val="zh-CN"/>
          </w:rPr>
          <w:t>1</w:t>
        </w:r>
        <w:r>
          <w:fldChar w:fldCharType="end"/>
        </w:r>
      </w:p>
    </w:sdtContent>
  </w:sdt>
  <w:p w14:paraId="065C9B07">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iZGUwNWM5NjQxODUyZjhjYWVlMWZjZWZmNTI5Mzg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391494"/>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17</Pages>
  <Words>6231</Words>
  <Characters>6462</Characters>
  <Lines>5</Lines>
  <Paragraphs>1</Paragraphs>
  <TotalTime>1</TotalTime>
  <ScaleCrop>false</ScaleCrop>
  <LinksUpToDate>false</LinksUpToDate>
  <CharactersWithSpaces>6489</CharactersWithSpaces>
  <Application>WPS Office_12.1.0.18196_F1E327BC-269C-435d-A152-05C5408002CA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U</cp:lastModifiedBy>
  <cp:lastPrinted>2018-12-31T10:56:00Z</cp:lastPrinted>
  <dcterms:modified xsi:type="dcterms:W3CDTF">2024-09-30T04:54:53Z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2052-12.1.0.18196</vt:lpwstr>
  </property>
  <property fmtid="{D5CDD505-2E9C-101B-9397-08002B2CF9AE}" pid="3" name="ICV">
    <vt:lpwstr>FF2F797C87DC410580590F529BFEADF3_12</vt:lpwstr>
  </property>
</Properties>
</file>