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rPr>
          <w:rFonts w:ascii="Times New Roman" w:hAnsi="Times New Roman" w:eastAsia="黑体" w:cs="Times New Roman"/>
          <w:szCs w:val="21"/>
        </w:rPr>
      </w:pPr>
    </w:p>
    <w:p>
      <w:pPr>
        <w:rPr>
          <w:rFonts w:ascii="Times New Roman" w:hAnsi="Times New Roman" w:eastAsia="黑体" w:cs="Times New Roman"/>
          <w:szCs w:val="21"/>
        </w:rPr>
      </w:pPr>
    </w:p>
    <w:p>
      <w:pPr>
        <w:rPr>
          <w:rFonts w:ascii="Times New Roman" w:hAnsi="Times New Roman" w:eastAsia="黑体" w:cs="Times New Roman"/>
          <w:szCs w:val="21"/>
        </w:rPr>
      </w:pPr>
    </w:p>
    <w:p>
      <w:pPr>
        <w:spacing w:line="60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勒发改</w:t>
      </w:r>
      <w:r>
        <w:rPr>
          <w:rFonts w:hint="eastAsia" w:ascii="Times New Roman" w:hAnsi="Times New Roman"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号                  签发： </w:t>
      </w:r>
    </w:p>
    <w:p>
      <w:pPr>
        <w:spacing w:line="520" w:lineRule="exact"/>
        <w:jc w:val="both"/>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小标宋简体" w:cs="Times New Roman"/>
          <w:sz w:val="44"/>
          <w:szCs w:val="44"/>
          <w:lang w:val="en-US" w:eastAsia="zh-CN"/>
        </w:rPr>
        <w:t>关于调整疏勒县城市供水价格的通知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疏勒县市场监督管理局、财政局、住建局、疏勒县供排水公司</w:t>
      </w:r>
      <w:r>
        <w:rPr>
          <w:rFonts w:hint="default" w:ascii="Times New Roman" w:hAnsi="Times New Roman" w:eastAsia="方正仿宋简体" w:cs="Times New Roman"/>
          <w:sz w:val="32"/>
          <w:szCs w:val="32"/>
          <w:lang w:eastAsia="zh-CN"/>
        </w:rPr>
        <w:t>：</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eastAsia" w:ascii="方正黑体简体" w:hAnsi="方正黑体简体" w:eastAsia="方正黑体简体" w:cs="方正黑体简体"/>
          <w:bCs/>
          <w:color w:val="000000"/>
          <w:sz w:val="32"/>
          <w:szCs w:val="32"/>
        </w:rPr>
      </w:pPr>
      <w:r>
        <w:rPr>
          <w:rFonts w:hint="default" w:ascii="Times New Roman" w:hAnsi="Times New Roman" w:eastAsia="方正仿宋简体" w:cs="Times New Roman"/>
          <w:bCs/>
          <w:color w:val="000000"/>
          <w:sz w:val="32"/>
          <w:szCs w:val="32"/>
        </w:rPr>
        <w:t>为</w:t>
      </w:r>
      <w:r>
        <w:rPr>
          <w:rFonts w:hint="default" w:ascii="Times New Roman" w:hAnsi="Times New Roman" w:eastAsia="方正仿宋简体" w:cs="Times New Roman"/>
          <w:bCs/>
          <w:color w:val="000000"/>
          <w:sz w:val="32"/>
          <w:szCs w:val="32"/>
          <w:lang w:eastAsia="zh-CN"/>
        </w:rPr>
        <w:t>根据国家</w:t>
      </w:r>
      <w:r>
        <w:rPr>
          <w:rFonts w:hint="default" w:ascii="Times New Roman" w:hAnsi="Times New Roman" w:eastAsia="方正仿宋简体" w:cs="Times New Roman"/>
          <w:bCs/>
          <w:color w:val="000000"/>
          <w:sz w:val="32"/>
          <w:szCs w:val="32"/>
        </w:rPr>
        <w:t>《城市供水价格管理办法》</w:t>
      </w:r>
      <w:r>
        <w:rPr>
          <w:rFonts w:hint="default" w:ascii="Times New Roman" w:hAnsi="Times New Roman"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《关于推进自治区水价综合改革实施意见的通知》（新发改政办〔201</w:t>
      </w:r>
      <w:r>
        <w:rPr>
          <w:rFonts w:hint="eastAsia" w:ascii="Times New Roman" w:hAnsi="Times New Roman" w:eastAsia="方正仿宋简体" w:cs="Times New Roman"/>
          <w:bCs/>
          <w:color w:val="000000"/>
          <w:sz w:val="32"/>
          <w:szCs w:val="32"/>
          <w:lang w:val="en-US" w:eastAsia="zh-CN"/>
        </w:rPr>
        <w:t>2</w:t>
      </w:r>
      <w:r>
        <w:rPr>
          <w:rFonts w:hint="default" w:ascii="Times New Roman" w:hAnsi="Times New Roman" w:eastAsia="方正仿宋简体" w:cs="Times New Roman"/>
          <w:bCs/>
          <w:color w:val="000000"/>
          <w:sz w:val="32"/>
          <w:szCs w:val="32"/>
        </w:rPr>
        <w:t>〕129号）《关于推进我区城镇居民用水阶梯价格制度的实施意见》（新政办发〔2017〕198号）</w:t>
      </w:r>
      <w:r>
        <w:rPr>
          <w:rFonts w:hint="default" w:ascii="Times New Roman" w:hAnsi="Times New Roman" w:eastAsia="方正仿宋简体" w:cs="Times New Roman"/>
          <w:bCs/>
          <w:color w:val="000000"/>
          <w:sz w:val="32"/>
          <w:szCs w:val="32"/>
          <w:lang w:eastAsia="zh-CN"/>
        </w:rPr>
        <w:t>《关于制定</w:t>
      </w:r>
      <w:r>
        <w:rPr>
          <w:rFonts w:hint="default" w:ascii="Times New Roman" w:hAnsi="Times New Roman" w:eastAsia="方正仿宋简体" w:cs="Times New Roman"/>
          <w:bCs/>
          <w:color w:val="000000"/>
          <w:sz w:val="32"/>
          <w:szCs w:val="32"/>
          <w:lang w:val="en-US" w:eastAsia="zh-CN"/>
        </w:rPr>
        <w:t>喀什</w:t>
      </w:r>
      <w:r>
        <w:rPr>
          <w:rFonts w:hint="eastAsia" w:ascii="Times New Roman" w:hAnsi="Times New Roman" w:eastAsia="方正仿宋简体" w:cs="Times New Roman"/>
          <w:bCs/>
          <w:color w:val="000000"/>
          <w:sz w:val="32"/>
          <w:szCs w:val="32"/>
          <w:lang w:val="en-US" w:eastAsia="zh-CN"/>
        </w:rPr>
        <w:t>“</w:t>
      </w:r>
      <w:r>
        <w:rPr>
          <w:rFonts w:hint="default" w:ascii="Times New Roman" w:hAnsi="Times New Roman" w:eastAsia="方正仿宋简体" w:cs="Times New Roman"/>
          <w:bCs/>
          <w:color w:val="000000"/>
          <w:sz w:val="32"/>
          <w:szCs w:val="32"/>
          <w:lang w:val="en-US" w:eastAsia="zh-CN"/>
        </w:rPr>
        <w:t>一市两县</w:t>
      </w:r>
      <w:r>
        <w:rPr>
          <w:rFonts w:hint="eastAsia" w:ascii="Times New Roman" w:hAnsi="Times New Roman" w:eastAsia="方正仿宋简体" w:cs="Times New Roman"/>
          <w:bCs/>
          <w:color w:val="000000"/>
          <w:sz w:val="32"/>
          <w:szCs w:val="32"/>
          <w:lang w:val="en-US" w:eastAsia="zh-CN"/>
        </w:rPr>
        <w:t>”</w:t>
      </w:r>
      <w:r>
        <w:rPr>
          <w:rFonts w:hint="default" w:ascii="Times New Roman" w:hAnsi="Times New Roman" w:eastAsia="方正仿宋简体" w:cs="Times New Roman"/>
          <w:bCs/>
          <w:color w:val="000000"/>
          <w:sz w:val="32"/>
          <w:szCs w:val="32"/>
          <w:lang w:val="en-US" w:eastAsia="zh-CN"/>
        </w:rPr>
        <w:t>城乡饮水安全工程试运行供水价格的通知</w:t>
      </w:r>
      <w:r>
        <w:rPr>
          <w:rFonts w:hint="default" w:ascii="Times New Roman" w:hAnsi="Times New Roman"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等有关规定，在依法依规开展成本监审、价格听证、合法性审查等程序基础上，</w:t>
      </w:r>
      <w:r>
        <w:rPr>
          <w:rFonts w:hint="default" w:ascii="Times New Roman" w:hAnsi="Times New Roman" w:eastAsia="方正仿宋简体" w:cs="Times New Roman"/>
          <w:bCs/>
          <w:color w:val="000000"/>
          <w:sz w:val="32"/>
          <w:szCs w:val="32"/>
          <w:lang w:eastAsia="zh-CN"/>
        </w:rPr>
        <w:t>经</w:t>
      </w:r>
      <w:r>
        <w:rPr>
          <w:rFonts w:hint="eastAsia" w:ascii="Times New Roman" w:hAnsi="Times New Roman" w:eastAsia="方正仿宋简体" w:cs="Times New Roman"/>
          <w:bCs/>
          <w:color w:val="000000"/>
          <w:sz w:val="32"/>
          <w:szCs w:val="32"/>
          <w:lang w:eastAsia="zh-CN"/>
        </w:rPr>
        <w:t>县</w:t>
      </w:r>
      <w:r>
        <w:rPr>
          <w:rFonts w:hint="default" w:ascii="Times New Roman" w:hAnsi="Times New Roman" w:eastAsia="方正仿宋简体" w:cs="Times New Roman"/>
          <w:bCs/>
          <w:color w:val="000000"/>
          <w:sz w:val="32"/>
          <w:szCs w:val="32"/>
          <w:lang w:eastAsia="zh-CN"/>
        </w:rPr>
        <w:t>人民政府研究同意，现将有关事宜通知如下</w:t>
      </w:r>
      <w:r>
        <w:rPr>
          <w:rFonts w:hint="eastAsia" w:eastAsia="方正仿宋简体" w:cs="Times New Roman"/>
          <w:bCs/>
          <w:color w:val="000000"/>
          <w:sz w:val="32"/>
          <w:szCs w:val="32"/>
          <w:lang w:eastAsia="zh-CN"/>
        </w:rPr>
        <w:t>：</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val="0"/>
          <w:color w:val="000000"/>
        </w:rPr>
      </w:pPr>
      <w:r>
        <w:rPr>
          <w:rFonts w:hint="eastAsia" w:ascii="方正黑体简体" w:hAnsi="方正黑体简体" w:eastAsia="方正黑体简体" w:cs="方正黑体简体"/>
          <w:bCs/>
          <w:color w:val="000000"/>
          <w:sz w:val="32"/>
          <w:szCs w:val="32"/>
        </w:rPr>
        <w:t>一、城市用水价格</w:t>
      </w:r>
    </w:p>
    <w:p>
      <w:pPr>
        <w:keepNext w:val="0"/>
        <w:keepLines w:val="0"/>
        <w:pageBreakBefore w:val="0"/>
        <w:numPr>
          <w:numId w:val="0"/>
        </w:numPr>
        <w:kinsoku/>
        <w:wordWrap/>
        <w:autoSpaceDE w:val="0"/>
        <w:autoSpaceDN/>
        <w:bidi w:val="0"/>
        <w:adjustRightInd w:val="0"/>
        <w:snapToGrid w:val="0"/>
        <w:spacing w:afterAutospacing="0" w:line="600" w:lineRule="exact"/>
        <w:ind w:leftChars="200"/>
        <w:jc w:val="left"/>
        <w:rPr>
          <w:rFonts w:hint="default" w:ascii="Times New Roman" w:hAnsi="Times New Roman" w:eastAsia="方正仿宋简体" w:cs="Times New Roman"/>
          <w:bCs/>
          <w:color w:val="000000"/>
          <w:sz w:val="32"/>
          <w:szCs w:val="32"/>
        </w:rPr>
      </w:pPr>
      <w:r>
        <w:rPr>
          <w:rFonts w:hint="eastAsia" w:ascii="Times New Roman" w:hAnsi="Times New Roman" w:eastAsia="方正仿宋简体" w:cs="Times New Roman"/>
          <w:bCs/>
          <w:color w:val="000000"/>
          <w:sz w:val="32"/>
          <w:szCs w:val="32"/>
          <w:lang w:eastAsia="zh-CN"/>
        </w:rPr>
        <w:t>（一）</w:t>
      </w:r>
      <w:r>
        <w:rPr>
          <w:rFonts w:hint="default" w:ascii="Times New Roman" w:hAnsi="Times New Roman" w:eastAsia="方正仿宋简体" w:cs="Times New Roman"/>
          <w:bCs/>
          <w:color w:val="000000"/>
          <w:sz w:val="32"/>
          <w:szCs w:val="32"/>
        </w:rPr>
        <w:t>居民用水由现行价格1.60元/m³调整为2.80元/m³；</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jc w:val="left"/>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lang w:eastAsia="zh-CN"/>
        </w:rPr>
        <w:t>（二）</w:t>
      </w:r>
      <w:r>
        <w:rPr>
          <w:rFonts w:hint="default" w:ascii="Times New Roman" w:hAnsi="Times New Roman" w:eastAsia="方正仿宋简体" w:cs="Times New Roman"/>
          <w:bCs/>
          <w:color w:val="000000"/>
          <w:sz w:val="32"/>
          <w:szCs w:val="32"/>
        </w:rPr>
        <w:t>非居民用水（行政事业、工业、经营服务业用水等）由现行价格2.00元/m³调整为3.50元/m³；</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jc w:val="left"/>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lang w:eastAsia="zh-CN"/>
        </w:rPr>
        <w:t>（三）</w:t>
      </w:r>
      <w:r>
        <w:rPr>
          <w:rFonts w:hint="default" w:ascii="Times New Roman" w:hAnsi="Times New Roman" w:eastAsia="方正仿宋简体" w:cs="Times New Roman"/>
          <w:bCs/>
          <w:color w:val="000000"/>
          <w:sz w:val="32"/>
          <w:szCs w:val="32"/>
        </w:rPr>
        <w:t>特种行业用水由现行价格4.00元/m³调整为10.</w:t>
      </w:r>
      <w:r>
        <w:rPr>
          <w:rFonts w:hint="default" w:ascii="Times New Roman" w:hAnsi="Times New Roman" w:eastAsia="方正仿宋简体" w:cs="Times New Roman"/>
          <w:bCs/>
          <w:color w:val="000000"/>
          <w:sz w:val="32"/>
          <w:szCs w:val="32"/>
          <w:lang w:val="en-US" w:eastAsia="zh-CN"/>
        </w:rPr>
        <w:t>50</w:t>
      </w:r>
      <w:r>
        <w:rPr>
          <w:rFonts w:hint="default" w:ascii="Times New Roman" w:hAnsi="Times New Roman" w:eastAsia="方正仿宋简体" w:cs="Times New Roman"/>
          <w:bCs/>
          <w:color w:val="000000"/>
          <w:sz w:val="32"/>
          <w:szCs w:val="32"/>
        </w:rPr>
        <w:t>元/m³；</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jc w:val="left"/>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lang w:eastAsia="zh-CN"/>
        </w:rPr>
        <w:t>（四）</w:t>
      </w:r>
      <w:r>
        <w:rPr>
          <w:rFonts w:hint="default" w:ascii="Times New Roman" w:hAnsi="Times New Roman" w:eastAsia="方正仿宋简体" w:cs="Times New Roman"/>
          <w:bCs/>
          <w:color w:val="000000"/>
          <w:sz w:val="32"/>
          <w:szCs w:val="32"/>
        </w:rPr>
        <w:t>其他用水（绿化）由现行价格1.00元/m³调整为1.39元/m³。</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方正黑体简体" w:hAnsi="方正黑体简体" w:eastAsia="方正黑体简体" w:cs="方正黑体简体"/>
          <w:bCs/>
          <w:color w:val="000000"/>
          <w:sz w:val="32"/>
          <w:szCs w:val="32"/>
        </w:rPr>
      </w:pPr>
      <w:r>
        <w:rPr>
          <w:rFonts w:hint="default" w:ascii="方正黑体简体" w:hAnsi="方正黑体简体" w:eastAsia="方正黑体简体" w:cs="方正黑体简体"/>
          <w:bCs/>
          <w:color w:val="000000"/>
          <w:sz w:val="32"/>
          <w:szCs w:val="32"/>
        </w:rPr>
        <w:t>二、居民阶梯水价方案</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rPr>
        <w:t>按照《关于推进我区城镇居民用水阶梯价格制度的实施意见》（新政办发〔2017〕198号）文件，我县城镇居民生活用水拟实行阶梯水价，水量参照国家参考值2.6立方米∕人</w:t>
      </w:r>
      <w:r>
        <w:rPr>
          <w:rFonts w:hint="eastAsia" w:eastAsia="方正仿宋简体" w:cs="Times New Roman"/>
          <w:bCs/>
          <w:color w:val="000000"/>
          <w:sz w:val="32"/>
          <w:szCs w:val="32"/>
          <w:lang w:val="en-US" w:eastAsia="zh-CN"/>
        </w:rPr>
        <w:t>·</w:t>
      </w:r>
      <w:r>
        <w:rPr>
          <w:rFonts w:hint="default" w:ascii="Times New Roman" w:hAnsi="Times New Roman" w:eastAsia="方正仿宋简体" w:cs="Times New Roman"/>
          <w:bCs/>
          <w:color w:val="000000"/>
          <w:sz w:val="32"/>
          <w:szCs w:val="32"/>
        </w:rPr>
        <w:t>月确定，以居民家庭用户为单位，家庭户均人口为4人，对超过户均人口数量的家庭可按相关证明相应增加用水量。根据用水量阶梯水价分为三档，第一档水量价格按照基础水价执行，第二档水量价格按照基础水价的1.5倍执行，第三档水量价格按照基础水价的2倍执行。</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rPr>
        <w:t>对超过户均人口数的家庭，可按户籍证明或居住证明标注的人口数量每增加1人相应增加1个水量基数。</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方正黑体简体" w:hAnsi="方正黑体简体" w:eastAsia="方正黑体简体" w:cs="方正黑体简体"/>
          <w:bCs/>
          <w:color w:val="000000"/>
          <w:sz w:val="32"/>
          <w:szCs w:val="32"/>
        </w:rPr>
      </w:pPr>
      <w:r>
        <w:rPr>
          <w:rFonts w:hint="default" w:ascii="方正黑体简体" w:hAnsi="方正黑体简体" w:eastAsia="方正黑体简体" w:cs="方正黑体简体"/>
          <w:bCs/>
          <w:color w:val="000000"/>
          <w:sz w:val="32"/>
          <w:szCs w:val="32"/>
        </w:rPr>
        <w:t>三、非居民和特种用水实行超定额累进加价制度</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rPr>
        <w:t>按照自治区人民政府办公厅《关于印发〈新疆维吾尔自治区工业和生活用水定额〉的通知》（新政办发〔2007〕105号）的规定，对非居民和特种用水严格实行定额管理，定额用水量以内部分执行规定的到户综合水价，超定额用水量部分实行累进加价制度。即超出定额不足20%的水量部分，超出部分在标准基础上加1倍征收；超出定额20%以上、不足40%部分，加2倍征收；超出定额40%及以上部分，加3倍征收；每级超定额用水水量由水利部门按《新疆维吾尔自治区工业用水定额》相关政策结合实际确定。</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方正黑体简体" w:hAnsi="方正黑体简体" w:eastAsia="方正黑体简体" w:cs="方正黑体简体"/>
          <w:bCs/>
          <w:color w:val="000000"/>
          <w:sz w:val="32"/>
          <w:szCs w:val="32"/>
        </w:rPr>
      </w:pPr>
      <w:r>
        <w:rPr>
          <w:rFonts w:hint="default" w:ascii="方正黑体简体" w:hAnsi="方正黑体简体" w:eastAsia="方正黑体简体" w:cs="方正黑体简体"/>
          <w:bCs/>
          <w:color w:val="000000"/>
          <w:sz w:val="32"/>
          <w:szCs w:val="32"/>
        </w:rPr>
        <w:t>四、相关说明</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rPr>
        <w:t>1</w:t>
      </w:r>
      <w:r>
        <w:rPr>
          <w:rFonts w:hint="eastAsia" w:eastAsia="方正仿宋简体" w:cs="Times New Roman"/>
          <w:bCs/>
          <w:color w:val="000000"/>
          <w:sz w:val="32"/>
          <w:szCs w:val="32"/>
          <w:lang w:val="en-US" w:eastAsia="zh-CN"/>
        </w:rPr>
        <w:t xml:space="preserve">. </w:t>
      </w:r>
      <w:r>
        <w:rPr>
          <w:rFonts w:hint="default" w:ascii="Times New Roman" w:hAnsi="Times New Roman" w:eastAsia="方正仿宋简体" w:cs="Times New Roman"/>
          <w:bCs/>
          <w:color w:val="000000"/>
          <w:sz w:val="32"/>
          <w:szCs w:val="32"/>
        </w:rPr>
        <w:t>根据新疆维吾尔自治区人民政府办公厅《关于推进我区城镇居民用水阶梯价格制度的实施意见》（新政办发〔20</w:t>
      </w:r>
      <w:r>
        <w:rPr>
          <w:rFonts w:hint="eastAsia" w:eastAsia="方正仿宋简体" w:cs="Times New Roman"/>
          <w:bCs/>
          <w:color w:val="000000"/>
          <w:sz w:val="32"/>
          <w:szCs w:val="32"/>
          <w:lang w:val="en-US" w:eastAsia="zh-CN"/>
        </w:rPr>
        <w:t>1</w:t>
      </w:r>
      <w:r>
        <w:rPr>
          <w:rFonts w:hint="default" w:ascii="Times New Roman" w:hAnsi="Times New Roman" w:eastAsia="方正仿宋简体" w:cs="Times New Roman"/>
          <w:bCs/>
          <w:color w:val="000000"/>
          <w:sz w:val="32"/>
          <w:szCs w:val="32"/>
        </w:rPr>
        <w:t>7〕198号）文件精神，</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居民阶梯水价执行范围为城镇管网供水区域内实行‘一户一表’的城镇居民用户，对未实行‘一户一表’的居民合表用户和执行居民水价的非居民用水户（如学校、幼儿园、社会福利机构、养老机构等），暂不实行居民阶梯水价</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bCs/>
          <w:color w:val="000000"/>
          <w:sz w:val="32"/>
          <w:szCs w:val="32"/>
        </w:rPr>
        <w:t>2</w:t>
      </w:r>
      <w:r>
        <w:rPr>
          <w:rFonts w:hint="eastAsia" w:eastAsia="方正仿宋简体" w:cs="Times New Roman"/>
          <w:bCs/>
          <w:color w:val="000000"/>
          <w:sz w:val="32"/>
          <w:szCs w:val="32"/>
          <w:lang w:val="en-US" w:eastAsia="zh-CN"/>
        </w:rPr>
        <w:t xml:space="preserve">. </w:t>
      </w:r>
      <w:r>
        <w:rPr>
          <w:rFonts w:hint="default" w:ascii="Times New Roman" w:hAnsi="Times New Roman" w:eastAsia="方正仿宋简体" w:cs="Times New Roman"/>
          <w:bCs/>
          <w:color w:val="000000"/>
          <w:sz w:val="32"/>
          <w:szCs w:val="32"/>
        </w:rPr>
        <w:t>供排水公司应切实加快管网覆盖区域内具备改造条件的居民用户</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一户一表</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的改造进度，积极做好用户的宣传动员工作，研究制订鼓励居民申请和配合实施</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一户一表</w:t>
      </w:r>
      <w:r>
        <w:rPr>
          <w:rFonts w:hint="eastAsia" w:eastAsia="方正仿宋简体" w:cs="Times New Roman"/>
          <w:bCs/>
          <w:color w:val="000000"/>
          <w:sz w:val="32"/>
          <w:szCs w:val="32"/>
          <w:lang w:eastAsia="zh-CN"/>
        </w:rPr>
        <w:t>”</w:t>
      </w:r>
      <w:r>
        <w:rPr>
          <w:rFonts w:hint="default" w:ascii="Times New Roman" w:hAnsi="Times New Roman" w:eastAsia="方正仿宋简体" w:cs="Times New Roman"/>
          <w:bCs/>
          <w:color w:val="000000"/>
          <w:sz w:val="32"/>
          <w:szCs w:val="32"/>
        </w:rPr>
        <w:t>改造的相关措施，全面实现疏勒县居民用水实行阶梯式水价。实施阶梯水价和超定额累进加价后，供水企业要切实做到抄表到户、结算到户、服务到户，不断提高服务水平和质量，确保供水水质、水压符合规定的质量标准，进一步保障供水安全。</w:t>
      </w:r>
    </w:p>
    <w:p>
      <w:pPr>
        <w:keepNext w:val="0"/>
        <w:keepLines w:val="0"/>
        <w:pageBreakBefore w:val="0"/>
        <w:kinsoku/>
        <w:wordWrap/>
        <w:autoSpaceDE w:val="0"/>
        <w:autoSpaceDN/>
        <w:bidi w:val="0"/>
        <w:adjustRightInd w:val="0"/>
        <w:snapToGrid w:val="0"/>
        <w:spacing w:afterAutospacing="0" w:line="600" w:lineRule="exact"/>
        <w:ind w:left="0" w:leftChars="0" w:firstLine="640" w:firstLineChars="200"/>
        <w:rPr>
          <w:rFonts w:hint="default" w:ascii="Times New Roman" w:hAnsi="Times New Roman" w:eastAsia="方正仿宋简体" w:cs="Times New Roman"/>
          <w:bCs/>
          <w:color w:val="000000"/>
          <w:sz w:val="32"/>
          <w:szCs w:val="32"/>
          <w:lang w:eastAsia="zh-CN"/>
        </w:rPr>
      </w:pPr>
      <w:r>
        <w:rPr>
          <w:rFonts w:hint="default" w:ascii="Times New Roman" w:hAnsi="Times New Roman" w:eastAsia="方正仿宋简体" w:cs="Times New Roman"/>
          <w:bCs/>
          <w:color w:val="000000"/>
          <w:sz w:val="32"/>
          <w:szCs w:val="32"/>
        </w:rPr>
        <w:t>3</w:t>
      </w:r>
      <w:r>
        <w:rPr>
          <w:rFonts w:hint="eastAsia" w:eastAsia="方正仿宋简体" w:cs="Times New Roman"/>
          <w:bCs/>
          <w:color w:val="000000"/>
          <w:sz w:val="32"/>
          <w:szCs w:val="32"/>
          <w:lang w:val="en-US" w:eastAsia="zh-CN"/>
        </w:rPr>
        <w:t xml:space="preserve">. </w:t>
      </w:r>
      <w:r>
        <w:rPr>
          <w:rFonts w:hint="default" w:ascii="Times New Roman" w:hAnsi="Times New Roman" w:eastAsia="方正仿宋简体" w:cs="Times New Roman"/>
          <w:bCs/>
          <w:color w:val="000000"/>
          <w:sz w:val="32"/>
          <w:szCs w:val="32"/>
        </w:rPr>
        <w:t>城市供水价格调整政策性强，涉及范围广，供排水公司应在显著位置公示收费标准并在各收费网点做好政策宣传及明码标价工作，确保疏勒县城市供水价格调整工作稳步推进。</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方正黑体_GBK" w:hAnsi="方正黑体_GBK" w:eastAsia="方正黑体_GBK" w:cs="方正黑体_GBK"/>
          <w:kern w:val="0"/>
          <w:sz w:val="32"/>
          <w:szCs w:val="30"/>
          <w:lang w:val="en-US" w:eastAsia="zh-CN"/>
        </w:rPr>
      </w:pPr>
      <w:r>
        <w:rPr>
          <w:rFonts w:hint="eastAsia" w:ascii="方正黑体_GBK" w:hAnsi="方正黑体_GBK" w:eastAsia="方正黑体_GBK" w:cs="方正黑体_GBK"/>
          <w:kern w:val="0"/>
          <w:sz w:val="32"/>
          <w:szCs w:val="30"/>
          <w:lang w:val="en-US" w:eastAsia="zh-CN"/>
        </w:rPr>
        <w:t>五、</w:t>
      </w:r>
      <w:r>
        <w:rPr>
          <w:rFonts w:ascii="黑体" w:hAnsi="宋体" w:eastAsia="黑体" w:cs="黑体"/>
          <w:i w:val="0"/>
          <w:iCs w:val="0"/>
          <w:caps w:val="0"/>
          <w:color w:val="000000"/>
          <w:spacing w:val="0"/>
          <w:sz w:val="32"/>
          <w:szCs w:val="32"/>
          <w:shd w:val="clear" w:fill="FFFFFF"/>
        </w:rPr>
        <w:t>执行时间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方正仿宋简体" w:cs="Times New Roman"/>
          <w:bCs/>
          <w:color w:val="000000"/>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fill="FFFFFF"/>
        </w:rPr>
        <w:t>调整后的</w:t>
      </w:r>
      <w:r>
        <w:rPr>
          <w:rFonts w:hint="eastAsia" w:ascii="Times New Roman" w:hAnsi="Times New Roman" w:eastAsia="方正仿宋_GBK" w:cs="Times New Roman"/>
          <w:i w:val="0"/>
          <w:iCs w:val="0"/>
          <w:caps w:val="0"/>
          <w:color w:val="000000"/>
          <w:spacing w:val="0"/>
          <w:sz w:val="32"/>
          <w:szCs w:val="32"/>
          <w:shd w:val="clear" w:fill="FFFFFF"/>
          <w:lang w:eastAsia="zh-CN"/>
        </w:rPr>
        <w:t>疏勒县城市</w:t>
      </w:r>
      <w:r>
        <w:rPr>
          <w:rFonts w:hint="default" w:ascii="Times New Roman" w:hAnsi="Times New Roman" w:eastAsia="方正仿宋_GBK" w:cs="Times New Roman"/>
          <w:i w:val="0"/>
          <w:iCs w:val="0"/>
          <w:caps w:val="0"/>
          <w:color w:val="000000"/>
          <w:spacing w:val="0"/>
          <w:sz w:val="32"/>
          <w:szCs w:val="32"/>
          <w:shd w:val="clear" w:fill="FFFFFF"/>
        </w:rPr>
        <w:t>供水价格</w:t>
      </w:r>
      <w:r>
        <w:rPr>
          <w:rFonts w:hint="default" w:ascii="Times New Roman" w:hAnsi="Times New Roman" w:eastAsia="方正仿宋_GBK" w:cs="Times New Roman"/>
          <w:b w:val="0"/>
          <w:bCs w:val="0"/>
          <w:i w:val="0"/>
          <w:iCs w:val="0"/>
          <w:caps w:val="0"/>
          <w:color w:val="000000"/>
          <w:spacing w:val="0"/>
          <w:sz w:val="32"/>
          <w:szCs w:val="32"/>
          <w:shd w:val="clear" w:fill="FFFFFF"/>
        </w:rPr>
        <w:t>自</w:t>
      </w:r>
      <w:bookmarkStart w:id="0" w:name="_GoBack"/>
      <w:bookmarkEnd w:id="0"/>
      <w:r>
        <w:rPr>
          <w:rFonts w:hint="default" w:ascii="Times New Roman" w:hAnsi="Times New Roman" w:eastAsia="方正仿宋_GBK" w:cs="Times New Roman"/>
          <w:b w:val="0"/>
          <w:bCs w:val="0"/>
          <w:i w:val="0"/>
          <w:iCs w:val="0"/>
          <w:caps w:val="0"/>
          <w:color w:val="000000"/>
          <w:spacing w:val="0"/>
          <w:sz w:val="32"/>
          <w:szCs w:val="32"/>
          <w:shd w:val="clear" w:fill="FFFFFF"/>
        </w:rPr>
        <w:t>2022年</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10</w:t>
      </w:r>
      <w:r>
        <w:rPr>
          <w:rFonts w:hint="default" w:ascii="Times New Roman" w:hAnsi="Times New Roman" w:eastAsia="方正仿宋_GBK" w:cs="Times New Roman"/>
          <w:b w:val="0"/>
          <w:bCs w:val="0"/>
          <w:i w:val="0"/>
          <w:iCs w:val="0"/>
          <w:caps w:val="0"/>
          <w:color w:val="000000"/>
          <w:spacing w:val="0"/>
          <w:sz w:val="32"/>
          <w:szCs w:val="32"/>
          <w:shd w:val="clear" w:fill="FFFFFF"/>
        </w:rPr>
        <w:t>月</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5</w:t>
      </w:r>
      <w:r>
        <w:rPr>
          <w:rFonts w:hint="default" w:ascii="Times New Roman" w:hAnsi="Times New Roman" w:eastAsia="方正仿宋_GBK" w:cs="Times New Roman"/>
          <w:b w:val="0"/>
          <w:bCs w:val="0"/>
          <w:i w:val="0"/>
          <w:iCs w:val="0"/>
          <w:caps w:val="0"/>
          <w:color w:val="000000"/>
          <w:spacing w:val="0"/>
          <w:sz w:val="32"/>
          <w:szCs w:val="32"/>
          <w:shd w:val="clear" w:fill="FFFFFF"/>
        </w:rPr>
        <w:t>日起收费执行。</w:t>
      </w:r>
      <w:r>
        <w:rPr>
          <w:rFonts w:hint="default" w:ascii="Times New Roman" w:hAnsi="Times New Roman" w:eastAsia="方正仿宋_GBK" w:cs="Times New Roman"/>
          <w:i w:val="0"/>
          <w:iCs w:val="0"/>
          <w:caps w:val="0"/>
          <w:color w:val="000000"/>
          <w:spacing w:val="0"/>
          <w:sz w:val="32"/>
          <w:szCs w:val="32"/>
          <w:shd w:val="clear" w:fill="FFFFFF"/>
        </w:rPr>
        <w:t>执行过程中，如遇上级政策调整，从其规定。</w:t>
      </w:r>
    </w:p>
    <w:p>
      <w:pPr>
        <w:pStyle w:val="2"/>
        <w:rPr>
          <w:rFonts w:hint="default" w:ascii="Times New Roman" w:hAnsi="Times New Roman" w:eastAsia="方正仿宋简体" w:cs="Times New Roman"/>
          <w:lang w:val="en-US" w:eastAsia="zh-CN"/>
        </w:rPr>
      </w:pPr>
      <w:r>
        <w:rPr>
          <w:rFonts w:hint="default" w:ascii="Times New Roman" w:hAnsi="Times New Roman" w:eastAsia="方正仿宋简体" w:cs="Times New Roman"/>
          <w:bCs/>
          <w:color w:val="000000"/>
          <w:sz w:val="32"/>
          <w:szCs w:val="32"/>
          <w:lang w:val="en-US" w:eastAsia="zh-CN"/>
        </w:rPr>
        <w:t>附件：疏勒县城市供水分类阶梯水价目表</w:t>
      </w:r>
    </w:p>
    <w:p>
      <w:pPr>
        <w:rPr>
          <w:rFonts w:hint="eastAsia" w:ascii="方正仿宋简体" w:hAnsi="方正仿宋简体" w:eastAsia="方正仿宋简体" w:cs="方正仿宋简体"/>
          <w:bCs/>
          <w:color w:val="000000"/>
          <w:sz w:val="32"/>
          <w:szCs w:val="32"/>
          <w:lang w:eastAsia="zh-CN"/>
        </w:rPr>
      </w:pPr>
      <w:r>
        <w:rPr>
          <w:rFonts w:hint="eastAsia" w:ascii="方正仿宋简体" w:hAnsi="方正仿宋简体" w:eastAsia="方正仿宋简体" w:cs="方正仿宋简体"/>
          <w:bCs/>
          <w:color w:val="000000"/>
          <w:sz w:val="32"/>
          <w:szCs w:val="32"/>
          <w:lang w:eastAsia="zh-CN"/>
        </w:rPr>
        <w:br w:type="page"/>
      </w:r>
    </w:p>
    <w:p>
      <w:pPr>
        <w:keepNext w:val="0"/>
        <w:keepLines w:val="0"/>
        <w:pageBreakBefore w:val="0"/>
        <w:widowControl w:val="0"/>
        <w:kinsoku/>
        <w:wordWrap/>
        <w:autoSpaceDE w:val="0"/>
        <w:autoSpaceDN/>
        <w:bidi w:val="0"/>
        <w:adjustRightInd w:val="0"/>
        <w:snapToGrid w:val="0"/>
        <w:spacing w:afterAutospacing="0" w:line="400" w:lineRule="exact"/>
        <w:jc w:val="both"/>
        <w:textAlignment w:val="auto"/>
        <w:rPr>
          <w:rFonts w:hint="eastAsia" w:ascii="方正仿宋简体" w:hAnsi="方正仿宋简体" w:eastAsia="方正仿宋简体" w:cs="方正仿宋简体"/>
          <w:bCs/>
          <w:color w:val="000000"/>
          <w:sz w:val="32"/>
          <w:szCs w:val="32"/>
          <w:lang w:eastAsia="zh-CN"/>
        </w:rPr>
      </w:pPr>
      <w:r>
        <w:rPr>
          <w:rFonts w:hint="eastAsia" w:ascii="方正仿宋简体" w:hAnsi="方正仿宋简体" w:eastAsia="方正仿宋简体" w:cs="方正仿宋简体"/>
          <w:bCs/>
          <w:color w:val="000000"/>
          <w:sz w:val="32"/>
          <w:szCs w:val="32"/>
          <w:lang w:eastAsia="zh-CN"/>
        </w:rPr>
        <w:t>附件：</w:t>
      </w:r>
    </w:p>
    <w:p>
      <w:pPr>
        <w:keepNext w:val="0"/>
        <w:keepLines w:val="0"/>
        <w:pageBreakBefore w:val="0"/>
        <w:widowControl w:val="0"/>
        <w:kinsoku/>
        <w:wordWrap/>
        <w:overflowPunct/>
        <w:topLinePunct w:val="0"/>
        <w:autoSpaceDE w:val="0"/>
        <w:autoSpaceDN/>
        <w:bidi w:val="0"/>
        <w:adjustRightInd w:val="0"/>
        <w:snapToGrid w:val="0"/>
        <w:spacing w:afterAutospacing="0" w:line="440" w:lineRule="exact"/>
        <w:ind w:left="0" w:leftChars="0" w:firstLine="880" w:firstLineChars="200"/>
        <w:jc w:val="center"/>
        <w:textAlignment w:val="auto"/>
        <w:rPr>
          <w:rFonts w:hint="eastAsia" w:ascii="方正小标宋简体" w:eastAsia="方正小标宋简体"/>
          <w:bCs/>
          <w:color w:val="000000"/>
          <w:sz w:val="44"/>
          <w:szCs w:val="44"/>
        </w:rPr>
      </w:pPr>
    </w:p>
    <w:p>
      <w:pPr>
        <w:keepNext w:val="0"/>
        <w:keepLines w:val="0"/>
        <w:pageBreakBefore w:val="0"/>
        <w:kinsoku/>
        <w:wordWrap/>
        <w:autoSpaceDE w:val="0"/>
        <w:autoSpaceDN/>
        <w:bidi w:val="0"/>
        <w:adjustRightInd w:val="0"/>
        <w:snapToGrid w:val="0"/>
        <w:spacing w:afterAutospacing="0" w:line="600" w:lineRule="exact"/>
        <w:ind w:left="0" w:leftChars="0" w:firstLine="880" w:firstLineChars="200"/>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疏勒县城市供水分类阶梯水价目表</w:t>
      </w:r>
    </w:p>
    <w:p>
      <w:pPr>
        <w:pStyle w:val="2"/>
        <w:keepNext w:val="0"/>
        <w:keepLines w:val="0"/>
        <w:pageBreakBefore w:val="0"/>
        <w:widowControl w:val="0"/>
        <w:kinsoku/>
        <w:wordWrap/>
        <w:autoSpaceDN/>
        <w:bidi w:val="0"/>
        <w:adjustRightInd w:val="0"/>
        <w:snapToGrid w:val="0"/>
        <w:spacing w:line="400" w:lineRule="exact"/>
        <w:textAlignment w:val="auto"/>
      </w:pPr>
    </w:p>
    <w:tbl>
      <w:tblPr>
        <w:tblStyle w:val="11"/>
        <w:tblW w:w="9079" w:type="dxa"/>
        <w:tblInd w:w="93" w:type="dxa"/>
        <w:tblLayout w:type="fixed"/>
        <w:tblCellMar>
          <w:top w:w="0" w:type="dxa"/>
          <w:left w:w="108" w:type="dxa"/>
          <w:bottom w:w="0" w:type="dxa"/>
          <w:right w:w="108" w:type="dxa"/>
        </w:tblCellMar>
      </w:tblPr>
      <w:tblGrid>
        <w:gridCol w:w="4244"/>
        <w:gridCol w:w="1395"/>
        <w:gridCol w:w="3440"/>
      </w:tblGrid>
      <w:tr>
        <w:tblPrEx>
          <w:tblCellMar>
            <w:top w:w="0" w:type="dxa"/>
            <w:left w:w="108" w:type="dxa"/>
            <w:bottom w:w="0" w:type="dxa"/>
            <w:right w:w="108" w:type="dxa"/>
          </w:tblCellMar>
        </w:tblPrEx>
        <w:trPr>
          <w:trHeight w:val="1017" w:hRule="atLeast"/>
        </w:trPr>
        <w:tc>
          <w:tcPr>
            <w:tcW w:w="4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autoSpaceDN/>
              <w:bidi w:val="0"/>
              <w:spacing w:afterAutospacing="0" w:line="600" w:lineRule="exact"/>
              <w:ind w:left="0" w:leftChars="0" w:firstLine="420" w:firstLineChars="200"/>
              <w:rPr>
                <w:rFonts w:hint="default" w:ascii="Times New Roman" w:hAnsi="Times New Roman" w:eastAsia="仿宋_GB2312" w:cs="Times New Roman"/>
                <w:bCs/>
                <w:color w:val="000000"/>
                <w:sz w:val="32"/>
                <w:szCs w:val="32"/>
              </w:rPr>
            </w:pPr>
            <w:r>
              <w:t xml:space="preserve"> </w:t>
            </w:r>
            <w:r>
              <w:rPr>
                <w:rFonts w:hint="default" w:ascii="Times New Roman" w:hAnsi="Times New Roman" w:eastAsia="仿宋_GB2312" w:cs="Times New Roman"/>
                <w:bCs/>
                <w:color w:val="000000"/>
                <w:sz w:val="32"/>
                <w:szCs w:val="32"/>
              </w:rPr>
              <w:t>用水类别</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供水</w:t>
            </w:r>
          </w:p>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水价</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文件规定</w:t>
            </w:r>
          </w:p>
        </w:tc>
      </w:tr>
      <w:tr>
        <w:tblPrEx>
          <w:tblCellMar>
            <w:top w:w="0" w:type="dxa"/>
            <w:left w:w="108" w:type="dxa"/>
            <w:bottom w:w="0" w:type="dxa"/>
            <w:right w:w="108" w:type="dxa"/>
          </w:tblCellMar>
        </w:tblPrEx>
        <w:trPr>
          <w:trHeight w:val="786" w:hRule="atLeast"/>
        </w:trPr>
        <w:tc>
          <w:tcPr>
            <w:tcW w:w="56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一、居民用水</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ind w:left="0" w:leftChars="0" w:firstLine="440" w:firstLineChars="200"/>
              <w:jc w:val="center"/>
              <w:textAlignment w:val="center"/>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792"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1.第一阶梯（基本水量：4人×2.6×12=124.8m³/年）</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2.80</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基础水价</w:t>
            </w:r>
          </w:p>
        </w:tc>
      </w:tr>
      <w:tr>
        <w:tblPrEx>
          <w:tblCellMar>
            <w:top w:w="0" w:type="dxa"/>
            <w:left w:w="108" w:type="dxa"/>
            <w:bottom w:w="0" w:type="dxa"/>
            <w:right w:w="108" w:type="dxa"/>
          </w:tblCellMar>
        </w:tblPrEx>
        <w:trPr>
          <w:trHeight w:val="1873"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2.第二阶梯（超出基本水量至两倍期间水量124.8m³/年&lt;水量≤249.6m³/年）</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4.17</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按基础水价1.5倍执行</w:t>
            </w:r>
          </w:p>
        </w:tc>
      </w:tr>
      <w:tr>
        <w:tblPrEx>
          <w:tblCellMar>
            <w:top w:w="0" w:type="dxa"/>
            <w:left w:w="108" w:type="dxa"/>
            <w:bottom w:w="0" w:type="dxa"/>
            <w:right w:w="108" w:type="dxa"/>
          </w:tblCellMar>
        </w:tblPrEx>
        <w:trPr>
          <w:trHeight w:val="1373"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3.第三阶梯（超出两倍基本水量249.6m³/年&lt;水量）</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5.55</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按基础水价2倍执行</w:t>
            </w:r>
          </w:p>
        </w:tc>
      </w:tr>
      <w:tr>
        <w:tblPrEx>
          <w:tblCellMar>
            <w:top w:w="0" w:type="dxa"/>
            <w:left w:w="108" w:type="dxa"/>
            <w:bottom w:w="0" w:type="dxa"/>
            <w:right w:w="108" w:type="dxa"/>
          </w:tblCellMar>
        </w:tblPrEx>
        <w:trPr>
          <w:trHeight w:val="792" w:hRule="atLeast"/>
        </w:trPr>
        <w:tc>
          <w:tcPr>
            <w:tcW w:w="56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二、非居民用水</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行政事业、工业、经营服务业用水等</w:t>
            </w:r>
          </w:p>
        </w:tc>
      </w:tr>
      <w:tr>
        <w:tblPrEx>
          <w:tblCellMar>
            <w:top w:w="0" w:type="dxa"/>
            <w:left w:w="108" w:type="dxa"/>
            <w:bottom w:w="0" w:type="dxa"/>
            <w:right w:w="108" w:type="dxa"/>
          </w:tblCellMar>
        </w:tblPrEx>
        <w:trPr>
          <w:trHeight w:val="792"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1.定额内水量</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3.50</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基础水价</w:t>
            </w:r>
          </w:p>
        </w:tc>
      </w:tr>
      <w:tr>
        <w:tblPrEx>
          <w:tblCellMar>
            <w:top w:w="0" w:type="dxa"/>
            <w:left w:w="108" w:type="dxa"/>
            <w:bottom w:w="0" w:type="dxa"/>
            <w:right w:w="108" w:type="dxa"/>
          </w:tblCellMar>
        </w:tblPrEx>
        <w:trPr>
          <w:trHeight w:val="1373"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2.超出定额不足20%的水量部分（含20%）</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6.95</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超出部分在基础水价上加1倍征收</w:t>
            </w:r>
          </w:p>
        </w:tc>
      </w:tr>
      <w:tr>
        <w:tblPrEx>
          <w:tblCellMar>
            <w:top w:w="0" w:type="dxa"/>
            <w:left w:w="108" w:type="dxa"/>
            <w:bottom w:w="0" w:type="dxa"/>
            <w:right w:w="108" w:type="dxa"/>
          </w:tblCellMar>
        </w:tblPrEx>
        <w:trPr>
          <w:trHeight w:val="1557"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3.超出定额20%以上、不足40%部分（含40%）</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10.40</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超出部分在基础水价上加2倍征收</w:t>
            </w:r>
          </w:p>
        </w:tc>
      </w:tr>
      <w:tr>
        <w:tblPrEx>
          <w:tblCellMar>
            <w:top w:w="0" w:type="dxa"/>
            <w:left w:w="108" w:type="dxa"/>
            <w:bottom w:w="0" w:type="dxa"/>
            <w:right w:w="108" w:type="dxa"/>
          </w:tblCellMar>
        </w:tblPrEx>
        <w:trPr>
          <w:trHeight w:val="792"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4.超出定额40%及以上部分</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13.85</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超出部分在基础水价上加3倍征收</w:t>
            </w:r>
          </w:p>
        </w:tc>
      </w:tr>
      <w:tr>
        <w:tblPrEx>
          <w:tblCellMar>
            <w:top w:w="0" w:type="dxa"/>
            <w:left w:w="108" w:type="dxa"/>
            <w:bottom w:w="0" w:type="dxa"/>
            <w:right w:w="108" w:type="dxa"/>
          </w:tblCellMar>
        </w:tblPrEx>
        <w:trPr>
          <w:trHeight w:val="1054" w:hRule="atLeast"/>
        </w:trPr>
        <w:tc>
          <w:tcPr>
            <w:tcW w:w="56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三、特种用水</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洗浴、洗车业、纯净水制造等</w:t>
            </w:r>
          </w:p>
        </w:tc>
      </w:tr>
      <w:tr>
        <w:tblPrEx>
          <w:tblCellMar>
            <w:top w:w="0" w:type="dxa"/>
            <w:left w:w="108" w:type="dxa"/>
            <w:bottom w:w="0" w:type="dxa"/>
            <w:right w:w="108" w:type="dxa"/>
          </w:tblCellMar>
        </w:tblPrEx>
        <w:trPr>
          <w:trHeight w:val="980"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1.定额内水量</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eastAsia="宋体" w:cs="Times New Roman"/>
                <w:color w:val="000000"/>
                <w:kern w:val="0"/>
                <w:sz w:val="22"/>
                <w:szCs w:val="22"/>
                <w:lang w:val="en-US" w:eastAsia="zh-CN"/>
              </w:rPr>
            </w:pPr>
            <w:r>
              <w:rPr>
                <w:rFonts w:hint="default" w:ascii="Times New Roman" w:hAnsi="Times New Roman" w:eastAsia="仿宋_GB2312" w:cs="Times New Roman"/>
                <w:bCs/>
                <w:color w:val="000000"/>
                <w:sz w:val="32"/>
                <w:szCs w:val="32"/>
                <w:lang w:val="en-US" w:eastAsia="zh-CN"/>
              </w:rPr>
              <w:t>10.50</w:t>
            </w:r>
          </w:p>
        </w:tc>
        <w:tc>
          <w:tcPr>
            <w:tcW w:w="344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基础水价</w:t>
            </w:r>
          </w:p>
        </w:tc>
      </w:tr>
      <w:tr>
        <w:tblPrEx>
          <w:tblCellMar>
            <w:top w:w="0" w:type="dxa"/>
            <w:left w:w="108" w:type="dxa"/>
            <w:bottom w:w="0" w:type="dxa"/>
            <w:right w:w="108" w:type="dxa"/>
          </w:tblCellMar>
        </w:tblPrEx>
        <w:trPr>
          <w:trHeight w:val="1290"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2.超出定额不足20%的水量部分（含20%）</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eastAsia="宋体" w:cs="Times New Roman"/>
                <w:color w:val="000000"/>
                <w:kern w:val="0"/>
                <w:sz w:val="22"/>
                <w:szCs w:val="22"/>
                <w:lang w:val="en-US" w:eastAsia="zh-CN"/>
              </w:rPr>
            </w:pPr>
            <w:r>
              <w:rPr>
                <w:rFonts w:hint="default" w:ascii="Times New Roman" w:hAnsi="Times New Roman" w:eastAsia="仿宋_GB2312" w:cs="Times New Roman"/>
                <w:bCs/>
                <w:color w:val="000000"/>
                <w:sz w:val="32"/>
                <w:szCs w:val="32"/>
                <w:lang w:val="en-US" w:eastAsia="zh-CN"/>
              </w:rPr>
              <w:t>21.00</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超出部分在基础水价上加1倍征收</w:t>
            </w:r>
          </w:p>
        </w:tc>
      </w:tr>
      <w:tr>
        <w:tblPrEx>
          <w:tblCellMar>
            <w:top w:w="0" w:type="dxa"/>
            <w:left w:w="108" w:type="dxa"/>
            <w:bottom w:w="0" w:type="dxa"/>
            <w:right w:w="108" w:type="dxa"/>
          </w:tblCellMar>
        </w:tblPrEx>
        <w:trPr>
          <w:trHeight w:val="699"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3.超出定额20%以上、不足40%部分（含40%）</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eastAsia="宋体" w:cs="Times New Roman"/>
                <w:color w:val="000000"/>
                <w:kern w:val="0"/>
                <w:sz w:val="22"/>
                <w:szCs w:val="22"/>
                <w:lang w:val="en-US" w:eastAsia="zh-CN"/>
              </w:rPr>
            </w:pPr>
            <w:r>
              <w:rPr>
                <w:rFonts w:hint="default" w:ascii="Times New Roman" w:hAnsi="Times New Roman" w:eastAsia="仿宋_GB2312" w:cs="Times New Roman"/>
                <w:bCs/>
                <w:color w:val="000000"/>
                <w:sz w:val="32"/>
                <w:szCs w:val="32"/>
                <w:lang w:val="en-US" w:eastAsia="zh-CN"/>
              </w:rPr>
              <w:t>31.50</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超出部分在基础水价上加2倍征收</w:t>
            </w:r>
          </w:p>
        </w:tc>
      </w:tr>
      <w:tr>
        <w:tblPrEx>
          <w:tblCellMar>
            <w:top w:w="0" w:type="dxa"/>
            <w:left w:w="108" w:type="dxa"/>
            <w:bottom w:w="0" w:type="dxa"/>
            <w:right w:w="108" w:type="dxa"/>
          </w:tblCellMar>
        </w:tblPrEx>
        <w:trPr>
          <w:trHeight w:val="1064" w:hRule="atLeast"/>
        </w:trPr>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4.超出定额40%及以上部分</w:t>
            </w:r>
          </w:p>
        </w:tc>
        <w:tc>
          <w:tcPr>
            <w:tcW w:w="13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autoSpaceDN/>
              <w:bidi w:val="0"/>
              <w:spacing w:afterAutospacing="0" w:line="600" w:lineRule="exact"/>
              <w:jc w:val="center"/>
              <w:textAlignment w:val="center"/>
              <w:rPr>
                <w:rFonts w:hint="default" w:ascii="Times New Roman" w:hAnsi="Times New Roman" w:eastAsia="宋体" w:cs="Times New Roman"/>
                <w:color w:val="000000"/>
                <w:kern w:val="0"/>
                <w:sz w:val="22"/>
                <w:szCs w:val="22"/>
                <w:lang w:val="en-US" w:eastAsia="zh-CN"/>
              </w:rPr>
            </w:pPr>
            <w:r>
              <w:rPr>
                <w:rFonts w:hint="default" w:ascii="Times New Roman" w:hAnsi="Times New Roman" w:eastAsia="仿宋_GB2312" w:cs="Times New Roman"/>
                <w:bCs/>
                <w:color w:val="000000"/>
                <w:sz w:val="32"/>
                <w:szCs w:val="32"/>
                <w:lang w:val="en-US" w:eastAsia="zh-CN"/>
              </w:rPr>
              <w:t>42.00</w:t>
            </w:r>
          </w:p>
        </w:tc>
        <w:tc>
          <w:tcPr>
            <w:tcW w:w="344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autoSpaceDN/>
              <w:bidi w:val="0"/>
              <w:spacing w:afterAutospacing="0" w:line="600" w:lineRule="exact"/>
              <w:ind w:left="0" w:leftChars="0" w:firstLine="640" w:firstLineChars="200"/>
              <w:jc w:val="center"/>
              <w:textAlignment w:val="center"/>
              <w:rPr>
                <w:rFonts w:hint="default" w:ascii="Times New Roman" w:hAnsi="Times New Roman" w:cs="Times New Roman"/>
                <w:color w:val="000000"/>
                <w:kern w:val="0"/>
                <w:sz w:val="22"/>
                <w:szCs w:val="22"/>
              </w:rPr>
            </w:pPr>
            <w:r>
              <w:rPr>
                <w:rFonts w:hint="default" w:ascii="Times New Roman" w:hAnsi="Times New Roman" w:eastAsia="仿宋_GB2312" w:cs="Times New Roman"/>
                <w:bCs/>
                <w:color w:val="000000"/>
                <w:sz w:val="32"/>
                <w:szCs w:val="32"/>
              </w:rPr>
              <w:t>超出部分在基础水价上加3倍征收</w:t>
            </w:r>
          </w:p>
        </w:tc>
      </w:tr>
    </w:tbl>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w:t>
      </w:r>
    </w:p>
    <w:p>
      <w:pPr>
        <w:pStyle w:val="2"/>
        <w:rPr>
          <w:rFonts w:hint="default"/>
          <w:lang w:val="en-US" w:eastAsia="zh-CN"/>
        </w:rPr>
      </w:pPr>
    </w:p>
    <w:p>
      <w:pPr>
        <w:spacing w:line="560" w:lineRule="exact"/>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u w:val="single"/>
        </w:rPr>
        <w:t xml:space="preserve">                                                       </w:t>
      </w:r>
    </w:p>
    <w:p>
      <w:pPr>
        <w:spacing w:line="560" w:lineRule="exact"/>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u w:val="single"/>
        </w:rPr>
        <w:t xml:space="preserve">疏勒县发展和改革委员会办公室   </w:t>
      </w:r>
      <w:r>
        <w:rPr>
          <w:rFonts w:hint="eastAsia" w:ascii="Times New Roman" w:hAnsi="Times New Roman" w:eastAsia="方正仿宋简体" w:cs="Times New Roman"/>
          <w:sz w:val="32"/>
          <w:szCs w:val="32"/>
          <w:u w:val="single"/>
        </w:rPr>
        <w:t xml:space="preserve">  </w:t>
      </w:r>
      <w:r>
        <w:rPr>
          <w:rFonts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u w:val="single"/>
          <w:lang w:val="en-US" w:eastAsia="zh-CN"/>
        </w:rPr>
        <w:t xml:space="preserve">  </w:t>
      </w:r>
      <w:r>
        <w:rPr>
          <w:rFonts w:ascii="Times New Roman" w:hAnsi="Times New Roman" w:eastAsia="方正仿宋简体" w:cs="Times New Roman"/>
          <w:sz w:val="32"/>
          <w:szCs w:val="32"/>
          <w:u w:val="single"/>
        </w:rPr>
        <w:t>202</w:t>
      </w:r>
      <w:r>
        <w:rPr>
          <w:rFonts w:hint="eastAsia" w:ascii="Times New Roman" w:hAnsi="Times New Roman" w:eastAsia="方正仿宋简体" w:cs="Times New Roman"/>
          <w:sz w:val="32"/>
          <w:szCs w:val="32"/>
          <w:u w:val="single"/>
          <w:lang w:val="en-US" w:eastAsia="zh-CN"/>
        </w:rPr>
        <w:t>2</w:t>
      </w:r>
      <w:r>
        <w:rPr>
          <w:rFonts w:ascii="Times New Roman" w:hAnsi="Times New Roman" w:eastAsia="方正仿宋简体" w:cs="Times New Roman"/>
          <w:sz w:val="32"/>
          <w:szCs w:val="32"/>
          <w:u w:val="single"/>
        </w:rPr>
        <w:t>年</w:t>
      </w:r>
      <w:r>
        <w:rPr>
          <w:rFonts w:hint="eastAsia" w:ascii="Times New Roman" w:hAnsi="Times New Roman" w:eastAsia="方正仿宋简体" w:cs="Times New Roman"/>
          <w:sz w:val="32"/>
          <w:szCs w:val="32"/>
          <w:u w:val="single"/>
          <w:lang w:val="en-US" w:eastAsia="zh-CN"/>
        </w:rPr>
        <w:t>9</w:t>
      </w:r>
      <w:r>
        <w:rPr>
          <w:rFonts w:ascii="Times New Roman" w:hAnsi="Times New Roman" w:eastAsia="方正仿宋简体" w:cs="Times New Roman"/>
          <w:sz w:val="32"/>
          <w:szCs w:val="32"/>
          <w:u w:val="single"/>
        </w:rPr>
        <w:t>月</w:t>
      </w:r>
      <w:r>
        <w:rPr>
          <w:rFonts w:hint="eastAsia" w:ascii="Times New Roman" w:hAnsi="Times New Roman" w:eastAsia="方正仿宋简体" w:cs="Times New Roman"/>
          <w:sz w:val="32"/>
          <w:szCs w:val="32"/>
          <w:u w:val="single"/>
          <w:lang w:val="en-US" w:eastAsia="zh-CN"/>
        </w:rPr>
        <w:t>5</w:t>
      </w:r>
      <w:r>
        <w:rPr>
          <w:rFonts w:ascii="Times New Roman" w:hAnsi="Times New Roman" w:eastAsia="方正仿宋简体" w:cs="Times New Roman"/>
          <w:sz w:val="32"/>
          <w:szCs w:val="32"/>
          <w:u w:val="single"/>
        </w:rPr>
        <w:t xml:space="preserve">日印发   </w:t>
      </w:r>
    </w:p>
    <w:sectPr>
      <w:headerReference r:id="rId3" w:type="default"/>
      <w:footerReference r:id="rId4" w:type="default"/>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F9B8D"/>
    <w:multiLevelType w:val="singleLevel"/>
    <w:tmpl w:val="BE7F9B8D"/>
    <w:lvl w:ilvl="0" w:tentative="0">
      <w:start w:val="1"/>
      <w:numFmt w:val="decimal"/>
      <w:pStyle w:val="6"/>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3NTU0YTE3MGRhM2Q0ZTliZDQzMGFlM2RjMjkyYjYifQ=="/>
  </w:docVars>
  <w:rsids>
    <w:rsidRoot w:val="6A520FF8"/>
    <w:rsid w:val="000A71FB"/>
    <w:rsid w:val="00355719"/>
    <w:rsid w:val="00554585"/>
    <w:rsid w:val="00862061"/>
    <w:rsid w:val="00953D16"/>
    <w:rsid w:val="009B7C38"/>
    <w:rsid w:val="00DB0E75"/>
    <w:rsid w:val="00ED581C"/>
    <w:rsid w:val="016F2D51"/>
    <w:rsid w:val="01A30B9A"/>
    <w:rsid w:val="01BD5529"/>
    <w:rsid w:val="022C2085"/>
    <w:rsid w:val="02BD7C3A"/>
    <w:rsid w:val="02E03ABE"/>
    <w:rsid w:val="03291299"/>
    <w:rsid w:val="03CD353D"/>
    <w:rsid w:val="04823163"/>
    <w:rsid w:val="04CB2798"/>
    <w:rsid w:val="052D1CE0"/>
    <w:rsid w:val="064D73C9"/>
    <w:rsid w:val="07053684"/>
    <w:rsid w:val="07501116"/>
    <w:rsid w:val="077557CA"/>
    <w:rsid w:val="092B483F"/>
    <w:rsid w:val="09736056"/>
    <w:rsid w:val="09B24C24"/>
    <w:rsid w:val="0A740496"/>
    <w:rsid w:val="0A80786B"/>
    <w:rsid w:val="0C4A0131"/>
    <w:rsid w:val="0C4F2B52"/>
    <w:rsid w:val="0CDD7F0A"/>
    <w:rsid w:val="0FA61F43"/>
    <w:rsid w:val="120E426B"/>
    <w:rsid w:val="12340CF4"/>
    <w:rsid w:val="12612B87"/>
    <w:rsid w:val="12712FBD"/>
    <w:rsid w:val="12D72D76"/>
    <w:rsid w:val="12F92F7C"/>
    <w:rsid w:val="13C767B7"/>
    <w:rsid w:val="13CF716E"/>
    <w:rsid w:val="143C3A29"/>
    <w:rsid w:val="147E0198"/>
    <w:rsid w:val="1486614C"/>
    <w:rsid w:val="14DB4E4E"/>
    <w:rsid w:val="16351105"/>
    <w:rsid w:val="17507979"/>
    <w:rsid w:val="17621CA2"/>
    <w:rsid w:val="186C20B3"/>
    <w:rsid w:val="1BF71EEF"/>
    <w:rsid w:val="1D0D31E0"/>
    <w:rsid w:val="1D531FCC"/>
    <w:rsid w:val="1E3615EE"/>
    <w:rsid w:val="2005549A"/>
    <w:rsid w:val="2063123A"/>
    <w:rsid w:val="208B3506"/>
    <w:rsid w:val="21303B18"/>
    <w:rsid w:val="222167C3"/>
    <w:rsid w:val="22606EB0"/>
    <w:rsid w:val="22C77173"/>
    <w:rsid w:val="22DE6A55"/>
    <w:rsid w:val="23986783"/>
    <w:rsid w:val="2478577A"/>
    <w:rsid w:val="254A5957"/>
    <w:rsid w:val="261A1E66"/>
    <w:rsid w:val="2648694D"/>
    <w:rsid w:val="267C5BB7"/>
    <w:rsid w:val="27A44741"/>
    <w:rsid w:val="282A7327"/>
    <w:rsid w:val="2A9527EC"/>
    <w:rsid w:val="2B0D6AA1"/>
    <w:rsid w:val="2B177C26"/>
    <w:rsid w:val="2B1E7DAE"/>
    <w:rsid w:val="2B240B08"/>
    <w:rsid w:val="2B6E6297"/>
    <w:rsid w:val="2C830F7B"/>
    <w:rsid w:val="2CD139F2"/>
    <w:rsid w:val="2F143188"/>
    <w:rsid w:val="2F6A67DD"/>
    <w:rsid w:val="2FC246AE"/>
    <w:rsid w:val="300A3D28"/>
    <w:rsid w:val="301F2D0F"/>
    <w:rsid w:val="334C0B5A"/>
    <w:rsid w:val="338634EF"/>
    <w:rsid w:val="342C1CDF"/>
    <w:rsid w:val="344F7E5B"/>
    <w:rsid w:val="35EE1FBD"/>
    <w:rsid w:val="3682539D"/>
    <w:rsid w:val="36E4411A"/>
    <w:rsid w:val="36F62685"/>
    <w:rsid w:val="37161AD7"/>
    <w:rsid w:val="37871D5E"/>
    <w:rsid w:val="38316A6B"/>
    <w:rsid w:val="38F361B4"/>
    <w:rsid w:val="39121745"/>
    <w:rsid w:val="39425708"/>
    <w:rsid w:val="396D0A5D"/>
    <w:rsid w:val="39F254B8"/>
    <w:rsid w:val="3A1E4827"/>
    <w:rsid w:val="3A357348"/>
    <w:rsid w:val="3BA14229"/>
    <w:rsid w:val="3BA20248"/>
    <w:rsid w:val="3BAD34A3"/>
    <w:rsid w:val="3BF73CCE"/>
    <w:rsid w:val="3C3D4C7D"/>
    <w:rsid w:val="3C8D647C"/>
    <w:rsid w:val="3DBA4086"/>
    <w:rsid w:val="3E037A16"/>
    <w:rsid w:val="3EBD7216"/>
    <w:rsid w:val="3ED53459"/>
    <w:rsid w:val="3F2E533A"/>
    <w:rsid w:val="403972FB"/>
    <w:rsid w:val="40D23450"/>
    <w:rsid w:val="40D374A7"/>
    <w:rsid w:val="4190637B"/>
    <w:rsid w:val="41AA2E44"/>
    <w:rsid w:val="42336562"/>
    <w:rsid w:val="42A738C2"/>
    <w:rsid w:val="42F43172"/>
    <w:rsid w:val="447561A3"/>
    <w:rsid w:val="450B4633"/>
    <w:rsid w:val="45D8135A"/>
    <w:rsid w:val="460C6A53"/>
    <w:rsid w:val="463B5440"/>
    <w:rsid w:val="48171037"/>
    <w:rsid w:val="48693DCD"/>
    <w:rsid w:val="48BE5666"/>
    <w:rsid w:val="493D58E0"/>
    <w:rsid w:val="495458E0"/>
    <w:rsid w:val="49B24D4F"/>
    <w:rsid w:val="49E151CD"/>
    <w:rsid w:val="4B155A99"/>
    <w:rsid w:val="4C943CC5"/>
    <w:rsid w:val="4CB54918"/>
    <w:rsid w:val="4CC0189E"/>
    <w:rsid w:val="4CCE50E3"/>
    <w:rsid w:val="4D142E6E"/>
    <w:rsid w:val="4E1B3A7B"/>
    <w:rsid w:val="4E634280"/>
    <w:rsid w:val="4EF12ED1"/>
    <w:rsid w:val="4F63020B"/>
    <w:rsid w:val="533432FD"/>
    <w:rsid w:val="53BE57E9"/>
    <w:rsid w:val="54B3307B"/>
    <w:rsid w:val="54C6151B"/>
    <w:rsid w:val="556F5ADF"/>
    <w:rsid w:val="55BA2BDA"/>
    <w:rsid w:val="56B9010D"/>
    <w:rsid w:val="56FE18B4"/>
    <w:rsid w:val="573357D9"/>
    <w:rsid w:val="57CB5111"/>
    <w:rsid w:val="591C7B93"/>
    <w:rsid w:val="5A3F40D4"/>
    <w:rsid w:val="5D2D4135"/>
    <w:rsid w:val="5D5348BB"/>
    <w:rsid w:val="5D694574"/>
    <w:rsid w:val="5EB03893"/>
    <w:rsid w:val="608626F5"/>
    <w:rsid w:val="609169D7"/>
    <w:rsid w:val="60FB0B6F"/>
    <w:rsid w:val="620F365A"/>
    <w:rsid w:val="63D03606"/>
    <w:rsid w:val="641F1628"/>
    <w:rsid w:val="64476D70"/>
    <w:rsid w:val="64A00C5C"/>
    <w:rsid w:val="653435A0"/>
    <w:rsid w:val="65D95326"/>
    <w:rsid w:val="6674223E"/>
    <w:rsid w:val="67767058"/>
    <w:rsid w:val="68C305FC"/>
    <w:rsid w:val="69B00496"/>
    <w:rsid w:val="6A0A4D5E"/>
    <w:rsid w:val="6A520FF8"/>
    <w:rsid w:val="6B9A058C"/>
    <w:rsid w:val="6C1E667C"/>
    <w:rsid w:val="6D306CC8"/>
    <w:rsid w:val="6E6D5658"/>
    <w:rsid w:val="6F552A6B"/>
    <w:rsid w:val="6F7566BF"/>
    <w:rsid w:val="70B02C05"/>
    <w:rsid w:val="70B43D59"/>
    <w:rsid w:val="71CF4E10"/>
    <w:rsid w:val="72C46654"/>
    <w:rsid w:val="7321534C"/>
    <w:rsid w:val="74033393"/>
    <w:rsid w:val="75B54855"/>
    <w:rsid w:val="75D430CB"/>
    <w:rsid w:val="76312F49"/>
    <w:rsid w:val="7633052E"/>
    <w:rsid w:val="76BA1F5A"/>
    <w:rsid w:val="76C25BEF"/>
    <w:rsid w:val="76F40754"/>
    <w:rsid w:val="77115CC7"/>
    <w:rsid w:val="779C67B0"/>
    <w:rsid w:val="77F4039A"/>
    <w:rsid w:val="786F738F"/>
    <w:rsid w:val="798E3F07"/>
    <w:rsid w:val="79F52767"/>
    <w:rsid w:val="7A3F2C58"/>
    <w:rsid w:val="7B0D1BB7"/>
    <w:rsid w:val="7BAA3C60"/>
    <w:rsid w:val="7BDB5C1B"/>
    <w:rsid w:val="7C08665B"/>
    <w:rsid w:val="7C232183"/>
    <w:rsid w:val="7C530C0B"/>
    <w:rsid w:val="7E3F3A40"/>
    <w:rsid w:val="7E5C58CC"/>
    <w:rsid w:val="7ED9550F"/>
    <w:rsid w:val="7FD4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uppressAutoHyphens/>
      <w:overflowPunct w:val="0"/>
      <w:topLinePunct/>
      <w:adjustRightInd w:val="0"/>
      <w:snapToGrid w:val="0"/>
      <w:spacing w:beforeLines="50" w:line="360" w:lineRule="auto"/>
      <w:ind w:firstLine="640" w:firstLineChars="200"/>
      <w:jc w:val="left"/>
      <w:outlineLvl w:val="1"/>
    </w:pPr>
    <w:rPr>
      <w:rFonts w:ascii="楷体_GB2312" w:hAnsi="楷体" w:eastAsia="楷体_GB2312"/>
      <w:bCs/>
      <w:kern w:val="0"/>
      <w:sz w:val="32"/>
      <w:szCs w:val="32"/>
    </w:rPr>
  </w:style>
  <w:style w:type="paragraph" w:styleId="3">
    <w:name w:val="heading 3"/>
    <w:basedOn w:val="1"/>
    <w:next w:val="1"/>
    <w:qFormat/>
    <w:uiPriority w:val="0"/>
    <w:pPr>
      <w:keepNext/>
      <w:keepLines/>
      <w:spacing w:line="413" w:lineRule="auto"/>
      <w:outlineLvl w:val="2"/>
    </w:pPr>
    <w:rPr>
      <w:rFonts w:ascii="仿宋" w:hAnsi="Times New Roman" w:eastAsia="仿宋" w:cs="Times New Roman"/>
      <w:b/>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style>
  <w:style w:type="paragraph" w:styleId="5">
    <w:name w:val="Plain Text"/>
    <w:basedOn w:val="1"/>
    <w:next w:val="6"/>
    <w:qFormat/>
    <w:uiPriority w:val="0"/>
    <w:rPr>
      <w:rFonts w:ascii="宋体" w:hAnsi="Courier New"/>
      <w:sz w:val="28"/>
      <w:szCs w:val="20"/>
    </w:rPr>
  </w:style>
  <w:style w:type="paragraph" w:styleId="6">
    <w:name w:val="List Number 5"/>
    <w:basedOn w:val="1"/>
    <w:qFormat/>
    <w:uiPriority w:val="0"/>
    <w:pPr>
      <w:numPr>
        <w:ilvl w:val="0"/>
        <w:numId w:val="1"/>
      </w:numPr>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itle"/>
    <w:basedOn w:val="1"/>
    <w:qFormat/>
    <w:uiPriority w:val="0"/>
    <w:pPr>
      <w:spacing w:before="240" w:after="60"/>
      <w:jc w:val="center"/>
      <w:outlineLvl w:val="0"/>
    </w:pPr>
    <w:rPr>
      <w:rFonts w:ascii="Arial" w:hAnsi="Arial" w:cs="Arial"/>
      <w:b/>
      <w:bCs/>
      <w:sz w:val="32"/>
      <w:szCs w:val="32"/>
    </w:rPr>
  </w:style>
  <w:style w:type="paragraph" w:styleId="10">
    <w:name w:val="Body Text First Indent 2"/>
    <w:basedOn w:val="4"/>
    <w:next w:val="5"/>
    <w:unhideWhenUsed/>
    <w:qFormat/>
    <w:uiPriority w:val="99"/>
    <w:pPr>
      <w:ind w:firstLine="420" w:firstLineChars="200"/>
    </w:pPr>
  </w:style>
  <w:style w:type="paragraph" w:customStyle="1" w:styleId="13">
    <w:name w:val="标题样式1"/>
    <w:basedOn w:val="9"/>
    <w:qFormat/>
    <w:uiPriority w:val="0"/>
    <w:pPr>
      <w:spacing w:before="0" w:after="0" w:line="400" w:lineRule="exact"/>
    </w:pPr>
    <w:rPr>
      <w:rFonts w:ascii="黑体" w:hAnsi="黑体" w:eastAsia="黑体" w:cs="Times New Roman"/>
      <w:bCs w:val="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1854</Words>
  <Characters>2100</Characters>
  <Lines>3</Lines>
  <Paragraphs>1</Paragraphs>
  <TotalTime>1</TotalTime>
  <ScaleCrop>false</ScaleCrop>
  <LinksUpToDate>false</LinksUpToDate>
  <CharactersWithSpaces>2221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2021-02-09T10:14:00Z</dcterms:created>
  <dc:creator>Administrator</dc:creator>
  <cp:lastModifiedBy>^詩詩omah^</cp:lastModifiedBy>
  <cp:lastPrinted>2022-08-02T05:22:00Z</cp:lastPrinted>
  <dcterms:modified xsi:type="dcterms:W3CDTF">2022-09-05T04:47:44Z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75D63E4D8B8E44C99E70C58FBAF6571A</vt:lpwstr>
  </property>
</Properties>
</file>