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5700"/>
        </w:tabs>
        <w:spacing w:line="560" w:lineRule="exact"/>
        <w:ind w:firstLine="0"/>
        <w:jc w:val="both"/>
        <w:rPr>
          <w:rFonts w:hint="eastAsia" w:ascii="兰米粗楷简体" w:hAnsi="兰米粗楷简体" w:eastAsia="兰米粗楷简体" w:cs="兰米粗楷简体"/>
          <w:b w:val="0"/>
          <w:bCs w:val="0"/>
          <w:sz w:val="52"/>
          <w:szCs w:val="52"/>
          <w:highlight w:val="none"/>
          <w:lang w:val="en-US" w:eastAsia="zh-CN"/>
        </w:rPr>
      </w:pPr>
    </w:p>
    <w:p>
      <w:pPr>
        <w:pStyle w:val="5"/>
        <w:tabs>
          <w:tab w:val="left" w:pos="5700"/>
        </w:tabs>
        <w:spacing w:line="560" w:lineRule="exact"/>
        <w:ind w:firstLine="0"/>
        <w:jc w:val="both"/>
        <w:rPr>
          <w:rFonts w:hint="eastAsia" w:ascii="兰米粗楷简体" w:hAnsi="兰米粗楷简体" w:eastAsia="兰米粗楷简体" w:cs="兰米粗楷简体"/>
          <w:b w:val="0"/>
          <w:bCs w:val="0"/>
          <w:sz w:val="52"/>
          <w:szCs w:val="52"/>
          <w:highlight w:val="none"/>
          <w:lang w:val="en-US" w:eastAsia="zh-CN"/>
        </w:rPr>
      </w:pPr>
    </w:p>
    <w:p>
      <w:pPr>
        <w:pStyle w:val="5"/>
        <w:tabs>
          <w:tab w:val="left" w:pos="5700"/>
        </w:tabs>
        <w:spacing w:line="560" w:lineRule="exact"/>
        <w:ind w:left="0" w:leftChars="0" w:firstLine="1767" w:firstLineChars="400"/>
        <w:jc w:val="both"/>
        <w:rPr>
          <w:rFonts w:hint="eastAsia" w:ascii="方正黑体简体" w:hAnsi="方正黑体简体" w:eastAsia="方正黑体简体" w:cs="方正黑体简体"/>
          <w:b/>
          <w:bCs/>
          <w:sz w:val="44"/>
          <w:szCs w:val="44"/>
          <w:highlight w:val="none"/>
          <w:lang w:val="en-US" w:eastAsia="zh-CN"/>
        </w:rPr>
      </w:pPr>
      <w:r>
        <w:rPr>
          <w:rFonts w:hint="eastAsia" w:ascii="方正黑体简体" w:hAnsi="方正黑体简体" w:eastAsia="方正黑体简体" w:cs="方正黑体简体"/>
          <w:b/>
          <w:bCs/>
          <w:kern w:val="2"/>
          <w:sz w:val="44"/>
          <w:szCs w:val="44"/>
          <w:highlight w:val="none"/>
          <w:lang w:val="en-US" w:eastAsia="zh-CN" w:bidi="ar-SA"/>
        </w:rPr>
        <w:t>2023年度会计监督检查报告</w:t>
      </w:r>
    </w:p>
    <w:p>
      <w:pPr>
        <w:pStyle w:val="5"/>
        <w:tabs>
          <w:tab w:val="left" w:pos="5700"/>
        </w:tabs>
        <w:spacing w:line="560" w:lineRule="exact"/>
        <w:ind w:firstLine="0"/>
        <w:jc w:val="both"/>
        <w:rPr>
          <w:rFonts w:hint="eastAsia" w:ascii="方正黑体简体" w:hAnsi="方正黑体简体" w:eastAsia="方正黑体简体" w:cs="方正黑体简体"/>
          <w:b/>
          <w:sz w:val="44"/>
          <w:szCs w:val="44"/>
          <w:highlight w:val="none"/>
        </w:rPr>
      </w:pPr>
      <w:r>
        <w:rPr>
          <w:rFonts w:hint="eastAsia" w:ascii="方正黑体简体" w:hAnsi="方正黑体简体" w:eastAsia="方正黑体简体" w:cs="方正黑体简体"/>
          <w:b/>
          <w:bCs/>
          <w:sz w:val="44"/>
          <w:szCs w:val="44"/>
          <w:highlight w:val="none"/>
          <w:lang w:val="en-US" w:eastAsia="zh-CN"/>
        </w:rPr>
        <w:t xml:space="preserve">                </w:t>
      </w:r>
    </w:p>
    <w:p>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方正仿宋简体" w:hAnsi="方正仿宋简体" w:eastAsia="方正仿宋简体" w:cs="方正仿宋简体"/>
          <w:b/>
          <w:sz w:val="32"/>
          <w:szCs w:val="32"/>
          <w:highlight w:val="none"/>
        </w:rPr>
      </w:pPr>
      <w:r>
        <w:rPr>
          <w:rFonts w:hint="eastAsia" w:ascii="方正仿宋简体" w:hAnsi="方正仿宋简体" w:eastAsia="方正仿宋简体" w:cs="方正仿宋简体"/>
          <w:b/>
          <w:sz w:val="32"/>
          <w:szCs w:val="32"/>
          <w:highlight w:val="none"/>
          <w:lang w:eastAsia="zh-CN"/>
        </w:rPr>
        <w:t>疏勒县民政局</w:t>
      </w:r>
      <w:r>
        <w:rPr>
          <w:rFonts w:hint="eastAsia" w:ascii="方正仿宋简体" w:hAnsi="方正仿宋简体" w:eastAsia="方正仿宋简体" w:cs="方正仿宋简体"/>
          <w:b/>
          <w:sz w:val="32"/>
          <w:szCs w:val="32"/>
          <w:highlight w:val="none"/>
        </w:rPr>
        <w:t>：</w:t>
      </w:r>
    </w:p>
    <w:p>
      <w:pPr>
        <w:keepNext w:val="0"/>
        <w:keepLines w:val="0"/>
        <w:pageBreakBefore w:val="0"/>
        <w:widowControl w:val="0"/>
        <w:kinsoku/>
        <w:wordWrap/>
        <w:overflowPunct/>
        <w:topLinePunct w:val="0"/>
        <w:autoSpaceDE/>
        <w:autoSpaceDN/>
        <w:bidi w:val="0"/>
        <w:snapToGrid/>
        <w:spacing w:line="560" w:lineRule="exact"/>
        <w:ind w:firstLine="947" w:firstLineChars="296"/>
        <w:textAlignment w:val="auto"/>
        <w:rPr>
          <w:rFonts w:hint="eastAsia" w:ascii="方正仿宋简体" w:hAnsi="方正仿宋简体" w:eastAsia="方正仿宋简体" w:cs="方正仿宋简体"/>
          <w:b/>
          <w:sz w:val="32"/>
          <w:szCs w:val="32"/>
          <w:highlight w:val="none"/>
          <w:lang w:val="en-US"/>
        </w:rPr>
      </w:pPr>
      <w:bookmarkStart w:id="4" w:name="_GoBack"/>
      <w:r>
        <w:rPr>
          <w:rFonts w:hint="eastAsia" w:ascii="方正仿宋简体" w:hAnsi="方正仿宋简体" w:eastAsia="方正仿宋简体" w:cs="方正仿宋简体"/>
          <w:kern w:val="2"/>
          <w:sz w:val="32"/>
          <w:szCs w:val="32"/>
          <w:highlight w:val="none"/>
          <w:lang w:val="en-US" w:eastAsia="zh-CN" w:bidi="ar-SA"/>
        </w:rPr>
        <w:t>疏勒县财政局（以下简称我局）根据《中华人民共和国会计法》、《政府会计准则》等相关规定，我局下发财政检查通知书，派出检查组并委托喀什凯瑞会计师事务所（普通合伙），自2023年9月19日至2023年9月23日，对疏勒县民政局2022年会计信息质量进行检查。此次检查工作运用了查询、审阅、延伸等方法，检查了2022年度疏勒县民政局财务会计资料及其他相关资料，被检查单位对其提供的财务会计资料的真实性、完整性负责，并承担法律依据。</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482" w:leftChars="0"/>
        <w:textAlignment w:val="auto"/>
        <w:rPr>
          <w:rFonts w:hint="eastAsia" w:ascii="方正仿宋简体" w:hAnsi="方正仿宋简体" w:eastAsia="方正仿宋简体" w:cs="方正仿宋简体"/>
          <w:b/>
          <w:bCs/>
          <w:sz w:val="32"/>
          <w:szCs w:val="32"/>
          <w:highlight w:val="none"/>
        </w:rPr>
      </w:pPr>
      <w:r>
        <w:rPr>
          <w:rFonts w:hint="eastAsia" w:ascii="方正仿宋简体" w:hAnsi="方正仿宋简体" w:eastAsia="方正仿宋简体" w:cs="方正仿宋简体"/>
          <w:b/>
          <w:bCs/>
          <w:sz w:val="32"/>
          <w:szCs w:val="32"/>
          <w:highlight w:val="none"/>
          <w:lang w:eastAsia="zh-CN"/>
        </w:rPr>
        <w:t>一、被</w:t>
      </w:r>
      <w:r>
        <w:rPr>
          <w:rFonts w:hint="eastAsia" w:ascii="方正仿宋简体" w:hAnsi="方正仿宋简体" w:eastAsia="方正仿宋简体" w:cs="方正仿宋简体"/>
          <w:b/>
          <w:bCs/>
          <w:sz w:val="32"/>
          <w:szCs w:val="32"/>
          <w:highlight w:val="none"/>
          <w:lang w:val="en-US" w:eastAsia="zh-CN"/>
        </w:rPr>
        <w:t>检查</w:t>
      </w:r>
      <w:r>
        <w:rPr>
          <w:rFonts w:hint="eastAsia" w:ascii="方正仿宋简体" w:hAnsi="方正仿宋简体" w:eastAsia="方正仿宋简体" w:cs="方正仿宋简体"/>
          <w:b/>
          <w:bCs/>
          <w:sz w:val="32"/>
          <w:szCs w:val="32"/>
          <w:highlight w:val="none"/>
          <w:lang w:eastAsia="zh-CN"/>
        </w:rPr>
        <w:t>单位</w:t>
      </w:r>
      <w:r>
        <w:rPr>
          <w:rFonts w:hint="eastAsia" w:ascii="方正仿宋简体" w:hAnsi="方正仿宋简体" w:eastAsia="方正仿宋简体" w:cs="方正仿宋简体"/>
          <w:b/>
          <w:bCs/>
          <w:sz w:val="32"/>
          <w:szCs w:val="32"/>
          <w:highlight w:val="none"/>
        </w:rPr>
        <w:t>基本情况</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lang w:eastAsia="zh-CN"/>
        </w:rPr>
        <w:t>疏勒县民政局：统一社会信用代码证书</w:t>
      </w:r>
      <w:r>
        <w:rPr>
          <w:rFonts w:hint="eastAsia" w:ascii="方正仿宋简体" w:hAnsi="方正仿宋简体" w:eastAsia="方正仿宋简体" w:cs="方正仿宋简体"/>
          <w:sz w:val="32"/>
          <w:szCs w:val="32"/>
          <w:highlight w:val="none"/>
          <w:lang w:val="en-US" w:eastAsia="zh-CN"/>
        </w:rPr>
        <w:t>号1653122010382356X;机构性质：机关；机构地址：新疆维吾尔自治区喀什地区疏勒县巴仁大道21号；负责人：阿卜杜艾尼·阿卜杜凯尤木。</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482" w:leftChars="0"/>
        <w:textAlignment w:val="auto"/>
        <w:rPr>
          <w:rFonts w:hint="eastAsia" w:ascii="方正仿宋简体" w:hAnsi="方正仿宋简体" w:eastAsia="方正仿宋简体" w:cs="方正仿宋简体"/>
          <w:b/>
          <w:bCs/>
          <w:sz w:val="32"/>
          <w:szCs w:val="32"/>
          <w:highlight w:val="none"/>
          <w:lang w:eastAsia="zh-CN"/>
        </w:rPr>
      </w:pPr>
      <w:r>
        <w:rPr>
          <w:rFonts w:hint="eastAsia" w:ascii="方正仿宋简体" w:hAnsi="方正仿宋简体" w:eastAsia="方正仿宋简体" w:cs="方正仿宋简体"/>
          <w:b/>
          <w:bCs/>
          <w:sz w:val="32"/>
          <w:szCs w:val="32"/>
          <w:highlight w:val="none"/>
          <w:lang w:eastAsia="zh-CN"/>
        </w:rPr>
        <w:t>二、被</w:t>
      </w:r>
      <w:r>
        <w:rPr>
          <w:rFonts w:hint="eastAsia" w:ascii="方正仿宋简体" w:hAnsi="方正仿宋简体" w:eastAsia="方正仿宋简体" w:cs="方正仿宋简体"/>
          <w:b/>
          <w:bCs/>
          <w:sz w:val="32"/>
          <w:szCs w:val="32"/>
          <w:highlight w:val="none"/>
          <w:lang w:val="en-US" w:eastAsia="zh-CN"/>
        </w:rPr>
        <w:t>检查</w:t>
      </w:r>
      <w:r>
        <w:rPr>
          <w:rFonts w:hint="eastAsia" w:ascii="方正仿宋简体" w:hAnsi="方正仿宋简体" w:eastAsia="方正仿宋简体" w:cs="方正仿宋简体"/>
          <w:b/>
          <w:bCs/>
          <w:sz w:val="32"/>
          <w:szCs w:val="32"/>
          <w:highlight w:val="none"/>
          <w:lang w:eastAsia="zh-CN"/>
        </w:rPr>
        <w:t>单位20</w:t>
      </w:r>
      <w:r>
        <w:rPr>
          <w:rFonts w:hint="eastAsia" w:ascii="方正仿宋简体" w:hAnsi="方正仿宋简体" w:eastAsia="方正仿宋简体" w:cs="方正仿宋简体"/>
          <w:b/>
          <w:bCs/>
          <w:sz w:val="32"/>
          <w:szCs w:val="32"/>
          <w:highlight w:val="none"/>
          <w:lang w:val="en-US" w:eastAsia="zh-CN"/>
        </w:rPr>
        <w:t>22</w:t>
      </w:r>
      <w:r>
        <w:rPr>
          <w:rFonts w:hint="eastAsia" w:ascii="方正仿宋简体" w:hAnsi="方正仿宋简体" w:eastAsia="方正仿宋简体" w:cs="方正仿宋简体"/>
          <w:b/>
          <w:bCs/>
          <w:sz w:val="32"/>
          <w:szCs w:val="32"/>
          <w:highlight w:val="none"/>
          <w:lang w:eastAsia="zh-CN"/>
        </w:rPr>
        <w:t>年度财务收支情况</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rPr>
        <w:t>截止20</w:t>
      </w:r>
      <w:r>
        <w:rPr>
          <w:rFonts w:hint="eastAsia" w:ascii="方正仿宋简体" w:hAnsi="方正仿宋简体" w:eastAsia="方正仿宋简体" w:cs="方正仿宋简体"/>
          <w:sz w:val="32"/>
          <w:szCs w:val="32"/>
          <w:highlight w:val="none"/>
          <w:lang w:val="en-US" w:eastAsia="zh-CN"/>
        </w:rPr>
        <w:t>22</w:t>
      </w:r>
      <w:r>
        <w:rPr>
          <w:rFonts w:hint="eastAsia" w:ascii="方正仿宋简体" w:hAnsi="方正仿宋简体" w:eastAsia="方正仿宋简体" w:cs="方正仿宋简体"/>
          <w:sz w:val="32"/>
          <w:szCs w:val="32"/>
          <w:highlight w:val="none"/>
        </w:rPr>
        <w:t>年12月31日，</w:t>
      </w:r>
      <w:r>
        <w:rPr>
          <w:rFonts w:hint="eastAsia" w:ascii="方正仿宋简体" w:hAnsi="方正仿宋简体" w:eastAsia="方正仿宋简体" w:cs="方正仿宋简体"/>
          <w:sz w:val="32"/>
          <w:szCs w:val="32"/>
          <w:highlight w:val="none"/>
          <w:lang w:eastAsia="zh-CN"/>
        </w:rPr>
        <w:t>疏勒县民政局</w:t>
      </w:r>
      <w:r>
        <w:rPr>
          <w:rFonts w:hint="eastAsia" w:ascii="方正仿宋简体" w:hAnsi="方正仿宋简体" w:eastAsia="方正仿宋简体" w:cs="方正仿宋简体"/>
          <w:sz w:val="32"/>
          <w:szCs w:val="32"/>
          <w:highlight w:val="none"/>
        </w:rPr>
        <w:t>资产</w:t>
      </w:r>
      <w:r>
        <w:rPr>
          <w:rFonts w:hint="eastAsia" w:ascii="方正仿宋简体" w:hAnsi="方正仿宋简体" w:eastAsia="方正仿宋简体" w:cs="方正仿宋简体"/>
          <w:sz w:val="32"/>
          <w:szCs w:val="32"/>
          <w:highlight w:val="none"/>
          <w:lang w:val="en-US" w:eastAsia="zh-CN"/>
        </w:rPr>
        <w:t>41,170,587.24</w:t>
      </w:r>
      <w:r>
        <w:rPr>
          <w:rFonts w:hint="eastAsia" w:ascii="方正仿宋简体" w:hAnsi="方正仿宋简体" w:eastAsia="方正仿宋简体" w:cs="方正仿宋简体"/>
          <w:sz w:val="32"/>
          <w:szCs w:val="32"/>
          <w:highlight w:val="none"/>
        </w:rPr>
        <w:t>元，负债3,754,557.16元，</w:t>
      </w:r>
      <w:r>
        <w:rPr>
          <w:rFonts w:hint="eastAsia" w:ascii="方正仿宋简体" w:hAnsi="方正仿宋简体" w:eastAsia="方正仿宋简体" w:cs="方正仿宋简体"/>
          <w:sz w:val="32"/>
          <w:szCs w:val="32"/>
          <w:highlight w:val="none"/>
          <w:lang w:eastAsia="zh-CN"/>
        </w:rPr>
        <w:t>净资产38,124,742.89</w:t>
      </w:r>
      <w:r>
        <w:rPr>
          <w:rFonts w:hint="eastAsia" w:ascii="方正仿宋简体" w:hAnsi="方正仿宋简体" w:eastAsia="方正仿宋简体" w:cs="方正仿宋简体"/>
          <w:sz w:val="32"/>
          <w:szCs w:val="32"/>
          <w:highlight w:val="none"/>
        </w:rPr>
        <w:t>元。</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方正仿宋简体" w:hAnsi="方正仿宋简体" w:eastAsia="方正仿宋简体" w:cs="方正仿宋简体"/>
          <w:b/>
          <w:bCs/>
          <w:sz w:val="32"/>
          <w:szCs w:val="32"/>
          <w:highlight w:val="none"/>
        </w:rPr>
      </w:pPr>
      <w:r>
        <w:rPr>
          <w:rFonts w:hint="eastAsia" w:ascii="方正仿宋简体" w:hAnsi="方正仿宋简体" w:eastAsia="方正仿宋简体" w:cs="方正仿宋简体"/>
          <w:sz w:val="32"/>
          <w:szCs w:val="32"/>
          <w:highlight w:val="none"/>
        </w:rPr>
        <w:t>（一）、银行存款：截止20</w:t>
      </w:r>
      <w:r>
        <w:rPr>
          <w:rFonts w:hint="eastAsia" w:ascii="方正仿宋简体" w:hAnsi="方正仿宋简体" w:eastAsia="方正仿宋简体" w:cs="方正仿宋简体"/>
          <w:sz w:val="32"/>
          <w:szCs w:val="32"/>
          <w:highlight w:val="none"/>
          <w:lang w:val="en-US" w:eastAsia="zh-CN"/>
        </w:rPr>
        <w:t>22</w:t>
      </w:r>
      <w:r>
        <w:rPr>
          <w:rFonts w:hint="eastAsia" w:ascii="方正仿宋简体" w:hAnsi="方正仿宋简体" w:eastAsia="方正仿宋简体" w:cs="方正仿宋简体"/>
          <w:sz w:val="32"/>
          <w:szCs w:val="32"/>
          <w:highlight w:val="none"/>
        </w:rPr>
        <w:t>年12月31日，银行存款为2,426,374.08元</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lang w:val="en-US" w:eastAsia="zh-CN"/>
        </w:rPr>
        <w:t>为：中国农业银行股份有限公司疏勒县支行</w:t>
      </w:r>
      <w:r>
        <w:rPr>
          <w:rFonts w:hint="eastAsia" w:ascii="方正仿宋简体" w:hAnsi="方正仿宋简体" w:eastAsia="方正仿宋简体" w:cs="方正仿宋简体"/>
          <w:sz w:val="32"/>
          <w:szCs w:val="32"/>
          <w:highlight w:val="none"/>
        </w:rPr>
        <w:t>（账号</w:t>
      </w:r>
      <w:r>
        <w:rPr>
          <w:rFonts w:hint="eastAsia" w:ascii="方正仿宋简体" w:hAnsi="方正仿宋简体" w:eastAsia="方正仿宋简体" w:cs="方正仿宋简体"/>
          <w:sz w:val="32"/>
          <w:szCs w:val="32"/>
          <w:highlight w:val="none"/>
          <w:lang w:val="en-US" w:eastAsia="zh-CN"/>
        </w:rPr>
        <w:t>：49021040002793</w:t>
      </w:r>
      <w:r>
        <w:rPr>
          <w:rFonts w:hint="eastAsia" w:ascii="方正仿宋简体" w:hAnsi="方正仿宋简体" w:eastAsia="方正仿宋简体" w:cs="方正仿宋简体"/>
          <w:sz w:val="32"/>
          <w:szCs w:val="32"/>
          <w:highlight w:val="none"/>
        </w:rPr>
        <w:t>）， 账面余额2,426,374.08元。</w:t>
      </w:r>
    </w:p>
    <w:bookmarkEnd w:id="4"/>
    <w:p>
      <w:pPr>
        <w:keepNext w:val="0"/>
        <w:keepLines w:val="0"/>
        <w:pageBreakBefore w:val="0"/>
        <w:widowControl w:val="0"/>
        <w:kinsoku/>
        <w:wordWrap/>
        <w:overflowPunct/>
        <w:topLinePunct w:val="0"/>
        <w:autoSpaceDE/>
        <w:autoSpaceDN/>
        <w:bidi w:val="0"/>
        <w:snapToGrid/>
        <w:spacing w:line="56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（二）、科目余额表如下图：</w:t>
      </w:r>
    </w:p>
    <w:tbl>
      <w:tblPr>
        <w:tblStyle w:val="9"/>
        <w:tblW w:w="91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57"/>
        <w:gridCol w:w="677"/>
        <w:gridCol w:w="1385"/>
        <w:gridCol w:w="1506"/>
        <w:gridCol w:w="1527"/>
        <w:gridCol w:w="752"/>
        <w:gridCol w:w="1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0" w:hRule="atLeast"/>
        </w:trPr>
        <w:tc>
          <w:tcPr>
            <w:tcW w:w="185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67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借/贷</w:t>
            </w:r>
          </w:p>
        </w:tc>
        <w:tc>
          <w:tcPr>
            <w:tcW w:w="1385"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年初余额</w:t>
            </w:r>
          </w:p>
        </w:tc>
        <w:tc>
          <w:tcPr>
            <w:tcW w:w="1506"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借方累计</w:t>
            </w:r>
          </w:p>
        </w:tc>
        <w:tc>
          <w:tcPr>
            <w:tcW w:w="1527"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贷方累计</w:t>
            </w:r>
          </w:p>
        </w:tc>
        <w:tc>
          <w:tcPr>
            <w:tcW w:w="752"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借/贷</w:t>
            </w:r>
          </w:p>
        </w:tc>
        <w:tc>
          <w:tcPr>
            <w:tcW w:w="1430" w:type="dxa"/>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期末余额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银行存款</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2,638,838.95</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8,725,411.76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8,937,876.63</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14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2,426,374.08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其他应收款</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1,604,890.83</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1,526,455.32</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14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78,435.51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9,687,392.78</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3,152,980.07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14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12,840,372.85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固定资产累计折旧</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4,956,434.52</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1,719,261.05</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4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6,675,695.57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在建工程</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32,501,091.37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14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32,501,091.37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无形资产</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w:t>
            </w:r>
          </w:p>
        </w:tc>
        <w:tc>
          <w:tcPr>
            <w:tcW w:w="14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应缴财政款</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8,840.00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9,485.00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4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应付职工薪酬</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6,795,620.98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6,795,626.98</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4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其他应付款</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4,239,499.78</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7,417,480.85</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6,931,887.23</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4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3,753,906.16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累计盈余</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4,735,197.26</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30,464,503.42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63,145,336.24</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4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37,416,030.08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本期盈余</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403,165,253.46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403,165,253.46</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4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本年盈余分配</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30,464,503.42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30,464,503.42</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4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402,133,894.46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402,133,894.46</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4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1,031,359.00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1,031,359.00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4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业务活动费用</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372,700,750.04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372,700,750.04</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4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财政拨款预算收入</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402,133,894.46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402,133,894.46</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4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其他预算收入</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1,031,359.00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1,031,359.00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4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行政支出</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402,133,894.46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402,133,894.46</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4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1,031,359.00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1,031,359.00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4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资金结存</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1,428,132.17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1,428,132.17</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4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财政拨款结转</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402,133,894.46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402,133,894.46</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4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非财政拨款结转</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1,031,359.00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2,062,718.00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4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1,031,359.00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非财政拨款结余</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-1,031,359.00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w:t>
            </w:r>
          </w:p>
        </w:tc>
        <w:tc>
          <w:tcPr>
            <w:tcW w:w="14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-1,031,359.00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trPr>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非财政拨款结余分配</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-1,031,359.00</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-1,031,359.00</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15"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w:t>
            </w:r>
          </w:p>
        </w:tc>
        <w:tc>
          <w:tcPr>
            <w:tcW w:w="143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15" w:lineRule="auto"/>
              <w:jc w:val="right"/>
              <w:rPr>
                <w:rFonts w:hint="eastAsia" w:ascii="宋体" w:hAnsi="宋体" w:eastAsia="宋体" w:cs="宋体"/>
                <w:i w:val="0"/>
                <w:iCs w:val="0"/>
                <w:color w:val="000000"/>
                <w:sz w:val="18"/>
                <w:szCs w:val="18"/>
                <w:u w:val="none"/>
              </w:rPr>
            </w:pP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bCs/>
          <w:sz w:val="32"/>
          <w:szCs w:val="32"/>
          <w:highlight w:val="none"/>
          <w:lang w:eastAsia="zh-CN"/>
        </w:rPr>
        <w:t>三、</w:t>
      </w:r>
      <w:r>
        <w:rPr>
          <w:rFonts w:hint="eastAsia" w:ascii="方正仿宋简体" w:hAnsi="方正仿宋简体" w:eastAsia="方正仿宋简体" w:cs="方正仿宋简体"/>
          <w:b/>
          <w:bCs/>
          <w:sz w:val="32"/>
          <w:szCs w:val="32"/>
          <w:highlight w:val="none"/>
          <w:lang w:val="en-US" w:eastAsia="zh-CN"/>
        </w:rPr>
        <w:t>检查结果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lang w:eastAsia="zh-CN"/>
        </w:rPr>
      </w:pPr>
      <w:r>
        <w:rPr>
          <w:rFonts w:hint="eastAsia" w:ascii="方正仿宋简体" w:hAnsi="方正仿宋简体" w:eastAsia="方正仿宋简体" w:cs="方正仿宋简体"/>
          <w:b w:val="0"/>
          <w:bCs w:val="0"/>
          <w:sz w:val="32"/>
          <w:szCs w:val="32"/>
          <w:highlight w:val="none"/>
          <w:lang w:val="en-US" w:eastAsia="zh-CN"/>
        </w:rPr>
        <w:t>检查</w:t>
      </w:r>
      <w:r>
        <w:rPr>
          <w:rFonts w:hint="eastAsia" w:ascii="方正仿宋简体" w:hAnsi="方正仿宋简体" w:eastAsia="方正仿宋简体" w:cs="方正仿宋简体"/>
          <w:b w:val="0"/>
          <w:bCs w:val="0"/>
          <w:sz w:val="32"/>
          <w:szCs w:val="32"/>
          <w:highlight w:val="none"/>
          <w:lang w:eastAsia="zh-CN"/>
        </w:rPr>
        <w:t>结果表明，</w:t>
      </w:r>
      <w:r>
        <w:rPr>
          <w:rFonts w:hint="eastAsia" w:ascii="方正仿宋简体" w:hAnsi="方正仿宋简体" w:eastAsia="方正仿宋简体" w:cs="方正仿宋简体"/>
          <w:b w:val="0"/>
          <w:bCs w:val="0"/>
          <w:sz w:val="32"/>
          <w:szCs w:val="32"/>
          <w:highlight w:val="none"/>
          <w:lang w:val="en-US" w:eastAsia="zh-CN"/>
        </w:rPr>
        <w:t>2023年</w:t>
      </w:r>
      <w:r>
        <w:rPr>
          <w:rFonts w:hint="eastAsia" w:ascii="方正仿宋简体" w:hAnsi="方正仿宋简体" w:eastAsia="方正仿宋简体" w:cs="方正仿宋简体"/>
          <w:sz w:val="32"/>
          <w:szCs w:val="32"/>
          <w:highlight w:val="none"/>
          <w:lang w:eastAsia="zh-CN"/>
        </w:rPr>
        <w:t>疏勒县民政局</w:t>
      </w:r>
      <w:r>
        <w:rPr>
          <w:rFonts w:hint="eastAsia" w:ascii="方正仿宋简体" w:hAnsi="方正仿宋简体" w:eastAsia="方正仿宋简体" w:cs="方正仿宋简体"/>
          <w:sz w:val="32"/>
          <w:szCs w:val="32"/>
          <w:highlight w:val="none"/>
        </w:rPr>
        <w:t>正常开展单位财务工作</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lang w:val="en-US" w:eastAsia="zh-CN"/>
        </w:rPr>
        <w:t>基本按照</w:t>
      </w:r>
      <w:r>
        <w:rPr>
          <w:rFonts w:hint="eastAsia" w:ascii="方正仿宋简体" w:hAnsi="方正仿宋简体" w:eastAsia="方正仿宋简体" w:cs="方正仿宋简体"/>
          <w:sz w:val="32"/>
          <w:szCs w:val="32"/>
          <w:highlight w:val="none"/>
          <w:lang w:eastAsia="zh-CN"/>
        </w:rPr>
        <w:t>要求</w:t>
      </w:r>
      <w:r>
        <w:rPr>
          <w:rFonts w:hint="eastAsia" w:ascii="方正仿宋简体" w:hAnsi="方正仿宋简体" w:eastAsia="方正仿宋简体" w:cs="方正仿宋简体"/>
          <w:sz w:val="32"/>
          <w:szCs w:val="32"/>
          <w:highlight w:val="none"/>
          <w:lang w:val="en-US" w:eastAsia="zh-CN"/>
        </w:rPr>
        <w:t>执行了政府会计制度，保证了会计核算质量，</w:t>
      </w:r>
      <w:r>
        <w:rPr>
          <w:rFonts w:hint="eastAsia" w:ascii="方正仿宋简体" w:hAnsi="方正仿宋简体" w:eastAsia="方正仿宋简体" w:cs="方正仿宋简体"/>
          <w:sz w:val="32"/>
          <w:szCs w:val="32"/>
          <w:highlight w:val="none"/>
          <w:lang w:eastAsia="zh-CN"/>
        </w:rPr>
        <w:t>正常开展单位财务工作财经纪律、保证了会计信息质量和防范债务风险，</w:t>
      </w:r>
      <w:r>
        <w:rPr>
          <w:rFonts w:hint="eastAsia" w:ascii="方正仿宋简体" w:hAnsi="方正仿宋简体" w:eastAsia="方正仿宋简体" w:cs="方正仿宋简体"/>
          <w:sz w:val="32"/>
          <w:szCs w:val="32"/>
          <w:highlight w:val="none"/>
          <w:lang w:val="en-US" w:eastAsia="zh-CN"/>
        </w:rPr>
        <w:t>已按照</w:t>
      </w:r>
      <w:r>
        <w:rPr>
          <w:rFonts w:hint="eastAsia" w:ascii="方正仿宋简体" w:hAnsi="方正仿宋简体" w:eastAsia="方正仿宋简体" w:cs="方正仿宋简体"/>
          <w:sz w:val="32"/>
          <w:szCs w:val="32"/>
          <w:highlight w:val="none"/>
          <w:lang w:eastAsia="zh-CN"/>
        </w:rPr>
        <w:t>《会计法》的规定设置合规账本，建立各类账套（总账、收支明细账、往来明细账、固定资产账、财务月报表、决算报表等），会计核算按照单位性质、依据国家统一新颁布的会计制度、准则进行核算。账户管理规范，无设置账外账和“内外”两套账，未发现“小金库”。履行政府采购、招投标程序，不存在虚报，冒领国家财政资金的情况，也未出现挤占挪用专项资金，未发现偷逃税金</w:t>
      </w:r>
      <w:r>
        <w:rPr>
          <w:rFonts w:hint="eastAsia" w:ascii="方正仿宋简体" w:hAnsi="方正仿宋简体" w:eastAsia="方正仿宋简体" w:cs="方正仿宋简体"/>
          <w:sz w:val="32"/>
          <w:szCs w:val="32"/>
          <w:highlight w:val="none"/>
          <w:lang w:val="en-US" w:eastAsia="zh-CN"/>
        </w:rPr>
        <w:t>的情况</w:t>
      </w:r>
      <w:r>
        <w:rPr>
          <w:rFonts w:hint="eastAsia" w:ascii="方正仿宋简体" w:hAnsi="方正仿宋简体" w:eastAsia="方正仿宋简体" w:cs="方正仿宋简体"/>
          <w:sz w:val="32"/>
          <w:szCs w:val="32"/>
          <w:highlight w:val="none"/>
          <w:lang w:eastAsia="zh-CN"/>
        </w:rPr>
        <w:t>，未存在不及时缴纳各项社保及住房公积金、教育基金等其他违反财经法规问题。对国有资产管理中，购置、处置已按照国家相关规定进行，无随意处置、变卖、转借资产等行为；无随意将公款或公物转借企业，用于经营性经营等问题；无决策失误造成公款和公务损失问题。无重大违反中央、自治区和地区关于改进工作作风、密切联系群众的有关规定。按会计档案管理规定规范做好会计档案管理，会计核算真实客观、会计信息真实，财政预算管理和财务制度以及财经纪律执行基本合法、依规。</w:t>
      </w:r>
    </w:p>
    <w:p>
      <w:pPr>
        <w:keepNext w:val="0"/>
        <w:keepLines w:val="0"/>
        <w:pageBreakBefore w:val="0"/>
        <w:numPr>
          <w:ilvl w:val="0"/>
          <w:numId w:val="0"/>
        </w:numPr>
        <w:kinsoku/>
        <w:wordWrap/>
        <w:overflowPunct/>
        <w:topLinePunct w:val="0"/>
        <w:autoSpaceDE/>
        <w:autoSpaceDN/>
        <w:bidi w:val="0"/>
        <w:adjustRightInd/>
        <w:snapToGrid/>
        <w:spacing w:line="560" w:lineRule="exact"/>
        <w:ind w:left="482" w:leftChars="0"/>
        <w:textAlignment w:val="auto"/>
        <w:rPr>
          <w:rFonts w:hint="eastAsia" w:ascii="方正仿宋简体" w:hAnsi="方正仿宋简体" w:eastAsia="方正仿宋简体" w:cs="方正仿宋简体"/>
          <w:b/>
          <w:bCs/>
          <w:sz w:val="32"/>
          <w:szCs w:val="32"/>
          <w:highlight w:val="none"/>
          <w:lang w:eastAsia="zh-CN"/>
        </w:rPr>
      </w:pPr>
      <w:r>
        <w:rPr>
          <w:rFonts w:hint="eastAsia" w:ascii="方正仿宋简体" w:hAnsi="方正仿宋简体" w:eastAsia="方正仿宋简体" w:cs="方正仿宋简体"/>
          <w:b/>
          <w:bCs/>
          <w:sz w:val="32"/>
          <w:szCs w:val="32"/>
          <w:highlight w:val="none"/>
          <w:lang w:eastAsia="zh-CN"/>
        </w:rPr>
        <w:t>四、检查发现的主要问题和处理（处罚）意见</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会计基础核算工作薄弱，会计核算不规范，</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5" w:firstLineChars="0"/>
        <w:textAlignment w:val="auto"/>
        <w:rPr>
          <w:rFonts w:hint="eastAsia" w:ascii="方正仿宋简体" w:hAnsi="方正仿宋简体" w:eastAsia="方正仿宋简体" w:cs="方正仿宋简体"/>
          <w:b w:val="0"/>
          <w:bCs w:val="0"/>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2022年5月8#凭证中，支付巴仁乡社工站30%项目款6万元，不属于在建工程的范围，不应计入在建工程。</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425" w:firstLineChars="0"/>
        <w:textAlignment w:val="auto"/>
        <w:rPr>
          <w:rFonts w:hint="eastAsia" w:ascii="方正仿宋简体" w:hAnsi="方正仿宋简体" w:eastAsia="方正仿宋简体" w:cs="方正仿宋简体"/>
          <w:b w:val="0"/>
          <w:bCs w:val="0"/>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单位收到和支付的各项业务，部分银行回单未装订记账凭证中。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上述做法违反了《政府会计准则》第三条：“政府会计由预算会计和财务会计构成；第十六条  政府会计主体提供的会计信息应当清晰明了，便于报告使用者理解和使用。第五条单位会计核算应当具备财务会计与预算会计双重功能，实现财务会计与预算会计适度分离并相互衔接，全面、清晰反映单位财务信息和预算执行信息，单位财务会计核算实行权责发生制；单位预算会计核算实行收付实现制。”的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i w:val="0"/>
          <w:caps w:val="0"/>
          <w:color w:val="333333"/>
          <w:spacing w:val="0"/>
          <w:sz w:val="32"/>
          <w:szCs w:val="32"/>
          <w:highlight w:val="none"/>
          <w:shd w:val="clear" w:color="auto" w:fill="FFFFFF"/>
        </w:rPr>
      </w:pPr>
      <w:r>
        <w:rPr>
          <w:rFonts w:hint="eastAsia" w:ascii="方正仿宋简体" w:hAnsi="方正仿宋简体" w:eastAsia="方正仿宋简体" w:cs="方正仿宋简体"/>
          <w:b w:val="0"/>
          <w:bCs w:val="0"/>
          <w:sz w:val="32"/>
          <w:szCs w:val="32"/>
          <w:highlight w:val="none"/>
          <w:lang w:val="en-US" w:eastAsia="zh-CN"/>
        </w:rPr>
        <w:t xml:space="preserve"> 依据：以上不符合会计基础工作规范（2019修订）第七十八条：“会计机构、会计人员应当对财务收支进行监督。（一）对审批手续不全的财务收支，应当退回，要求补充、更正。（二）对违反规定不纳入单位统一会计核算的财务收支，应当制止和纠正。（三）对违反国家统一的财政、财务、会计制度规定的财务收支，不予办理。（四）对认为是违反国家统一的财政、财务、会计制度规定的财务收支，应当制止和纠正；制止和纠正无效的，应当向单位领导人提出书面意见请求处理。单位领导人应当在接到书面意见起十日内作出书面决定，并对决定承担责任。”的规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color w:val="auto"/>
          <w:kern w:val="2"/>
          <w:sz w:val="32"/>
          <w:szCs w:val="32"/>
          <w:highlight w:val="none"/>
          <w:lang w:val="en-US" w:eastAsia="zh-CN" w:bidi="ar-SA"/>
        </w:rPr>
      </w:pPr>
      <w:r>
        <w:rPr>
          <w:rFonts w:hint="eastAsia" w:ascii="方正仿宋简体" w:hAnsi="方正仿宋简体" w:eastAsia="方正仿宋简体" w:cs="方正仿宋简体"/>
          <w:b w:val="0"/>
          <w:bCs w:val="0"/>
          <w:color w:val="auto"/>
          <w:sz w:val="32"/>
          <w:szCs w:val="32"/>
          <w:highlight w:val="none"/>
          <w:lang w:val="en-US" w:eastAsia="zh-CN"/>
        </w:rPr>
        <w:t xml:space="preserve"> 处理（处罚）意见：责成</w:t>
      </w:r>
      <w:r>
        <w:rPr>
          <w:rFonts w:hint="eastAsia" w:ascii="方正仿宋简体" w:hAnsi="方正仿宋简体" w:eastAsia="方正仿宋简体" w:cs="方正仿宋简体"/>
          <w:b w:val="0"/>
          <w:bCs w:val="0"/>
          <w:color w:val="auto"/>
          <w:kern w:val="2"/>
          <w:sz w:val="32"/>
          <w:szCs w:val="32"/>
          <w:highlight w:val="none"/>
          <w:lang w:val="en-US" w:eastAsia="zh-CN" w:bidi="ar-SA"/>
        </w:rPr>
        <w:t>疏勒县民政局在审计期间，加强培训、通报批评，及时梳理整理，现场整改，</w:t>
      </w:r>
      <w:r>
        <w:rPr>
          <w:rFonts w:hint="eastAsia" w:ascii="方正仿宋简体" w:hAnsi="方正仿宋简体" w:eastAsia="方正仿宋简体" w:cs="方正仿宋简体"/>
          <w:color w:val="auto"/>
          <w:kern w:val="2"/>
          <w:sz w:val="32"/>
          <w:szCs w:val="32"/>
          <w:highlight w:val="none"/>
          <w:lang w:val="en-US" w:eastAsia="zh-CN" w:bidi="ar-SA"/>
        </w:rPr>
        <w:t>引以为戒，责令今后不准发生类似问题。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val="0"/>
          <w:sz w:val="32"/>
          <w:szCs w:val="32"/>
          <w:highlight w:val="none"/>
          <w:lang w:val="en-US" w:eastAsia="zh-CN"/>
        </w:rPr>
      </w:pPr>
      <w:r>
        <w:rPr>
          <w:rFonts w:hint="eastAsia" w:ascii="方正仿宋简体" w:hAnsi="方正仿宋简体" w:eastAsia="方正仿宋简体" w:cs="方正仿宋简体"/>
          <w:b w:val="0"/>
          <w:bCs w:val="0"/>
          <w:color w:val="auto"/>
          <w:sz w:val="32"/>
          <w:szCs w:val="32"/>
          <w:highlight w:val="none"/>
          <w:lang w:val="en-US" w:eastAsia="zh-CN"/>
        </w:rPr>
        <w:t xml:space="preserve">经后期整改，该问题已经不存在。 </w:t>
      </w:r>
      <w:r>
        <w:rPr>
          <w:rFonts w:hint="eastAsia" w:ascii="方正仿宋简体" w:hAnsi="方正仿宋简体" w:eastAsia="方正仿宋简体" w:cs="方正仿宋简体"/>
          <w:b w:val="0"/>
          <w:bCs w:val="0"/>
          <w:sz w:val="32"/>
          <w:szCs w:val="32"/>
          <w:highlight w:val="none"/>
          <w:lang w:val="en-US" w:eastAsia="zh-CN"/>
        </w:rPr>
        <w:t xml:space="preserve"> </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未及时清理往来款项长期挂账</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425" w:firstLineChars="0"/>
        <w:textAlignment w:val="auto"/>
        <w:rPr>
          <w:rFonts w:hint="eastAsia" w:ascii="方正仿宋简体" w:hAnsi="方正仿宋简体" w:eastAsia="方正仿宋简体" w:cs="方正仿宋简体"/>
          <w:b w:val="0"/>
          <w:bCs w:val="0"/>
          <w:color w:val="auto"/>
          <w:sz w:val="32"/>
          <w:szCs w:val="32"/>
          <w:highlight w:val="none"/>
          <w:lang w:val="en-US" w:eastAsia="zh-CN"/>
        </w:rPr>
      </w:pPr>
      <w:r>
        <w:rPr>
          <w:rFonts w:hint="eastAsia" w:ascii="方正仿宋简体" w:hAnsi="方正仿宋简体" w:eastAsia="方正仿宋简体" w:cs="方正仿宋简体"/>
          <w:b w:val="0"/>
          <w:bCs w:val="0"/>
          <w:color w:val="auto"/>
          <w:sz w:val="32"/>
          <w:szCs w:val="32"/>
          <w:highlight w:val="none"/>
          <w:lang w:val="en-US" w:eastAsia="zh-CN"/>
        </w:rPr>
        <w:t>疏勒县民政局其他应收款截止2022年12月31日期末余额78,435.51元，均属长期挂账，具体明细如下：</w:t>
      </w:r>
    </w:p>
    <w:tbl>
      <w:tblPr>
        <w:tblStyle w:val="10"/>
        <w:tblW w:w="9017"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881"/>
        <w:gridCol w:w="6155"/>
        <w:gridCol w:w="198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75" w:hRule="atLeast"/>
        </w:trPr>
        <w:tc>
          <w:tcPr>
            <w:tcW w:w="881" w:type="dxa"/>
            <w:tcBorders>
              <w:tl2br w:val="nil"/>
              <w:tr2bl w:val="nil"/>
            </w:tcBorders>
            <w:noWrap w:val="0"/>
            <w:vAlign w:val="top"/>
          </w:tcPr>
          <w:p>
            <w:pPr>
              <w:keepNext w:val="0"/>
              <w:keepLines w:val="0"/>
              <w:pageBreakBefore w:val="0"/>
              <w:numPr>
                <w:ilvl w:val="0"/>
                <w:numId w:val="0"/>
              </w:numPr>
              <w:kinsoku/>
              <w:wordWrap/>
              <w:overflowPunct/>
              <w:topLinePunct w:val="0"/>
              <w:autoSpaceDE/>
              <w:autoSpaceDN/>
              <w:bidi w:val="0"/>
              <w:adjustRightInd/>
              <w:snapToGrid w:val="0"/>
              <w:spacing w:line="240" w:lineRule="auto"/>
              <w:jc w:val="center"/>
              <w:rPr>
                <w:rFonts w:hint="eastAsia"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序号</w:t>
            </w:r>
          </w:p>
        </w:tc>
        <w:tc>
          <w:tcPr>
            <w:tcW w:w="6155"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其他应收款往来单位</w:t>
            </w:r>
          </w:p>
        </w:tc>
        <w:tc>
          <w:tcPr>
            <w:tcW w:w="1981"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期末余额</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52" w:hRule="atLeast"/>
        </w:trPr>
        <w:tc>
          <w:tcPr>
            <w:tcW w:w="881" w:type="dxa"/>
            <w:tcBorders>
              <w:tl2br w:val="nil"/>
              <w:tr2bl w:val="nil"/>
            </w:tcBorders>
            <w:noWrap w:val="0"/>
            <w:vAlign w:val="top"/>
          </w:tcPr>
          <w:p>
            <w:pPr>
              <w:keepNext w:val="0"/>
              <w:keepLines w:val="0"/>
              <w:pageBreakBefore w:val="0"/>
              <w:numPr>
                <w:ilvl w:val="0"/>
                <w:numId w:val="0"/>
              </w:numPr>
              <w:kinsoku/>
              <w:wordWrap/>
              <w:overflowPunct/>
              <w:topLinePunct w:val="0"/>
              <w:autoSpaceDE/>
              <w:autoSpaceDN/>
              <w:bidi w:val="0"/>
              <w:adjustRightInd/>
              <w:snapToGrid w:val="0"/>
              <w:spacing w:line="240" w:lineRule="auto"/>
              <w:ind w:firstLine="263" w:firstLineChars="0"/>
              <w:jc w:val="both"/>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1</w:t>
            </w:r>
          </w:p>
        </w:tc>
        <w:tc>
          <w:tcPr>
            <w:tcW w:w="6155" w:type="dxa"/>
            <w:tcBorders>
              <w:tl2br w:val="nil"/>
              <w:tr2bl w:val="nil"/>
            </w:tcBorders>
            <w:noWrap w:val="0"/>
            <w:vAlign w:val="top"/>
          </w:tcPr>
          <w:p>
            <w:pPr>
              <w:keepNext w:val="0"/>
              <w:keepLines w:val="0"/>
              <w:pageBreakBefore w:val="0"/>
              <w:numPr>
                <w:ilvl w:val="0"/>
                <w:numId w:val="0"/>
              </w:numPr>
              <w:kinsoku/>
              <w:wordWrap/>
              <w:overflowPunct/>
              <w:topLinePunct w:val="0"/>
              <w:autoSpaceDE/>
              <w:autoSpaceDN/>
              <w:bidi w:val="0"/>
              <w:adjustRightInd/>
              <w:snapToGrid w:val="0"/>
              <w:spacing w:line="240" w:lineRule="auto"/>
              <w:jc w:val="left"/>
              <w:rPr>
                <w:rFonts w:hint="default" w:ascii="宋体" w:hAnsi="宋体" w:eastAsia="宋体" w:cs="宋体"/>
                <w:sz w:val="21"/>
                <w:szCs w:val="21"/>
                <w:highlight w:val="none"/>
                <w:vertAlign w:val="baseline"/>
                <w:lang w:val="en-US" w:eastAsia="zh-CN"/>
              </w:rPr>
            </w:pPr>
            <w:r>
              <w:rPr>
                <w:rFonts w:hint="default" w:ascii="宋体" w:hAnsi="宋体" w:eastAsia="宋体" w:cs="宋体"/>
                <w:sz w:val="21"/>
                <w:szCs w:val="21"/>
                <w:highlight w:val="none"/>
                <w:vertAlign w:val="baseline"/>
                <w:lang w:val="en-US" w:eastAsia="zh-CN"/>
              </w:rPr>
              <w:t>杜宝林</w:t>
            </w:r>
          </w:p>
        </w:tc>
        <w:tc>
          <w:tcPr>
            <w:tcW w:w="1981"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top"/>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 xml:space="preserve">20,000.00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52" w:hRule="atLeast"/>
        </w:trPr>
        <w:tc>
          <w:tcPr>
            <w:tcW w:w="881" w:type="dxa"/>
            <w:tcBorders>
              <w:tl2br w:val="nil"/>
              <w:tr2bl w:val="nil"/>
            </w:tcBorders>
            <w:noWrap w:val="0"/>
            <w:vAlign w:val="top"/>
          </w:tcPr>
          <w:p>
            <w:pPr>
              <w:keepNext w:val="0"/>
              <w:keepLines w:val="0"/>
              <w:pageBreakBefore w:val="0"/>
              <w:numPr>
                <w:ilvl w:val="0"/>
                <w:numId w:val="0"/>
              </w:numPr>
              <w:kinsoku/>
              <w:wordWrap/>
              <w:overflowPunct/>
              <w:topLinePunct w:val="0"/>
              <w:autoSpaceDE/>
              <w:autoSpaceDN/>
              <w:bidi w:val="0"/>
              <w:adjustRightInd/>
              <w:snapToGrid w:val="0"/>
              <w:spacing w:line="240" w:lineRule="auto"/>
              <w:jc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2</w:t>
            </w:r>
          </w:p>
        </w:tc>
        <w:tc>
          <w:tcPr>
            <w:tcW w:w="6155" w:type="dxa"/>
            <w:tcBorders>
              <w:tl2br w:val="nil"/>
              <w:tr2bl w:val="nil"/>
            </w:tcBorders>
            <w:noWrap w:val="0"/>
            <w:vAlign w:val="top"/>
          </w:tcPr>
          <w:p>
            <w:pPr>
              <w:keepNext w:val="0"/>
              <w:keepLines w:val="0"/>
              <w:pageBreakBefore w:val="0"/>
              <w:numPr>
                <w:ilvl w:val="0"/>
                <w:numId w:val="0"/>
              </w:numPr>
              <w:kinsoku/>
              <w:wordWrap/>
              <w:overflowPunct/>
              <w:topLinePunct w:val="0"/>
              <w:autoSpaceDE/>
              <w:autoSpaceDN/>
              <w:bidi w:val="0"/>
              <w:adjustRightInd/>
              <w:snapToGrid w:val="0"/>
              <w:spacing w:line="240" w:lineRule="auto"/>
              <w:jc w:val="left"/>
              <w:rPr>
                <w:rFonts w:hint="default" w:ascii="宋体" w:hAnsi="宋体" w:eastAsia="宋体" w:cs="宋体"/>
                <w:sz w:val="21"/>
                <w:szCs w:val="21"/>
                <w:highlight w:val="none"/>
                <w:vertAlign w:val="baseline"/>
                <w:lang w:val="en-US" w:eastAsia="zh-CN"/>
              </w:rPr>
            </w:pPr>
            <w:r>
              <w:rPr>
                <w:rFonts w:hint="default" w:ascii="宋体" w:hAnsi="宋体" w:eastAsia="宋体" w:cs="宋体"/>
                <w:sz w:val="21"/>
                <w:szCs w:val="21"/>
                <w:highlight w:val="none"/>
                <w:vertAlign w:val="baseline"/>
                <w:lang w:val="en-US" w:eastAsia="zh-CN"/>
              </w:rPr>
              <w:t>苏晓光</w:t>
            </w:r>
          </w:p>
        </w:tc>
        <w:tc>
          <w:tcPr>
            <w:tcW w:w="1981"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top"/>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 xml:space="preserve">-5.00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52" w:hRule="atLeast"/>
        </w:trPr>
        <w:tc>
          <w:tcPr>
            <w:tcW w:w="881" w:type="dxa"/>
            <w:tcBorders>
              <w:tl2br w:val="nil"/>
              <w:tr2bl w:val="nil"/>
            </w:tcBorders>
            <w:noWrap w:val="0"/>
            <w:vAlign w:val="top"/>
          </w:tcPr>
          <w:p>
            <w:pPr>
              <w:keepNext w:val="0"/>
              <w:keepLines w:val="0"/>
              <w:pageBreakBefore w:val="0"/>
              <w:numPr>
                <w:ilvl w:val="0"/>
                <w:numId w:val="0"/>
              </w:numPr>
              <w:kinsoku/>
              <w:wordWrap/>
              <w:overflowPunct/>
              <w:topLinePunct w:val="0"/>
              <w:autoSpaceDE/>
              <w:autoSpaceDN/>
              <w:bidi w:val="0"/>
              <w:adjustRightInd/>
              <w:snapToGrid w:val="0"/>
              <w:spacing w:line="240" w:lineRule="auto"/>
              <w:jc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3</w:t>
            </w:r>
          </w:p>
        </w:tc>
        <w:tc>
          <w:tcPr>
            <w:tcW w:w="6155" w:type="dxa"/>
            <w:tcBorders>
              <w:tl2br w:val="nil"/>
              <w:tr2bl w:val="nil"/>
            </w:tcBorders>
            <w:noWrap w:val="0"/>
            <w:vAlign w:val="top"/>
          </w:tcPr>
          <w:p>
            <w:pPr>
              <w:keepNext w:val="0"/>
              <w:keepLines w:val="0"/>
              <w:pageBreakBefore w:val="0"/>
              <w:numPr>
                <w:ilvl w:val="0"/>
                <w:numId w:val="0"/>
              </w:numPr>
              <w:kinsoku/>
              <w:wordWrap/>
              <w:overflowPunct/>
              <w:topLinePunct w:val="0"/>
              <w:autoSpaceDE/>
              <w:autoSpaceDN/>
              <w:bidi w:val="0"/>
              <w:adjustRightInd/>
              <w:snapToGrid w:val="0"/>
              <w:spacing w:line="240" w:lineRule="auto"/>
              <w:jc w:val="left"/>
              <w:rPr>
                <w:rFonts w:hint="default" w:ascii="宋体" w:hAnsi="宋体" w:eastAsia="宋体" w:cs="宋体"/>
                <w:sz w:val="21"/>
                <w:szCs w:val="21"/>
                <w:highlight w:val="none"/>
                <w:vertAlign w:val="baseline"/>
                <w:lang w:val="en-US" w:eastAsia="zh-CN"/>
              </w:rPr>
            </w:pPr>
            <w:r>
              <w:rPr>
                <w:rFonts w:hint="default" w:ascii="宋体" w:hAnsi="宋体" w:eastAsia="宋体" w:cs="宋体"/>
                <w:sz w:val="21"/>
                <w:szCs w:val="21"/>
                <w:highlight w:val="none"/>
                <w:vertAlign w:val="baseline"/>
                <w:lang w:val="en-US" w:eastAsia="zh-CN"/>
              </w:rPr>
              <w:t>农村幸福院项目</w:t>
            </w:r>
          </w:p>
        </w:tc>
        <w:tc>
          <w:tcPr>
            <w:tcW w:w="1981"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top"/>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 xml:space="preserve">14,050.00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52" w:hRule="atLeast"/>
        </w:trPr>
        <w:tc>
          <w:tcPr>
            <w:tcW w:w="881" w:type="dxa"/>
            <w:tcBorders>
              <w:tl2br w:val="nil"/>
              <w:tr2bl w:val="nil"/>
            </w:tcBorders>
            <w:noWrap w:val="0"/>
            <w:vAlign w:val="top"/>
          </w:tcPr>
          <w:p>
            <w:pPr>
              <w:keepNext w:val="0"/>
              <w:keepLines w:val="0"/>
              <w:pageBreakBefore w:val="0"/>
              <w:numPr>
                <w:ilvl w:val="0"/>
                <w:numId w:val="0"/>
              </w:numPr>
              <w:kinsoku/>
              <w:wordWrap/>
              <w:overflowPunct/>
              <w:topLinePunct w:val="0"/>
              <w:autoSpaceDE/>
              <w:autoSpaceDN/>
              <w:bidi w:val="0"/>
              <w:adjustRightInd/>
              <w:snapToGrid w:val="0"/>
              <w:spacing w:line="240" w:lineRule="auto"/>
              <w:jc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4</w:t>
            </w:r>
          </w:p>
        </w:tc>
        <w:tc>
          <w:tcPr>
            <w:tcW w:w="6155" w:type="dxa"/>
            <w:tcBorders>
              <w:tl2br w:val="nil"/>
              <w:tr2bl w:val="nil"/>
            </w:tcBorders>
            <w:noWrap w:val="0"/>
            <w:vAlign w:val="top"/>
          </w:tcPr>
          <w:p>
            <w:pPr>
              <w:keepNext w:val="0"/>
              <w:keepLines w:val="0"/>
              <w:pageBreakBefore w:val="0"/>
              <w:numPr>
                <w:ilvl w:val="0"/>
                <w:numId w:val="0"/>
              </w:numPr>
              <w:kinsoku/>
              <w:wordWrap/>
              <w:overflowPunct/>
              <w:topLinePunct w:val="0"/>
              <w:autoSpaceDE/>
              <w:autoSpaceDN/>
              <w:bidi w:val="0"/>
              <w:adjustRightInd/>
              <w:snapToGrid w:val="0"/>
              <w:spacing w:line="240" w:lineRule="auto"/>
              <w:jc w:val="left"/>
              <w:rPr>
                <w:rFonts w:hint="default" w:ascii="宋体" w:hAnsi="宋体" w:eastAsia="宋体" w:cs="宋体"/>
                <w:sz w:val="21"/>
                <w:szCs w:val="21"/>
                <w:highlight w:val="none"/>
                <w:vertAlign w:val="baseline"/>
                <w:lang w:val="en-US" w:eastAsia="zh-CN"/>
              </w:rPr>
            </w:pPr>
            <w:r>
              <w:rPr>
                <w:rFonts w:hint="default" w:ascii="宋体" w:hAnsi="宋体" w:eastAsia="宋体" w:cs="宋体"/>
                <w:sz w:val="21"/>
                <w:szCs w:val="21"/>
                <w:highlight w:val="none"/>
                <w:vertAlign w:val="baseline"/>
                <w:lang w:val="en-US" w:eastAsia="zh-CN"/>
              </w:rPr>
              <w:t>政府办八一慰问</w:t>
            </w:r>
          </w:p>
        </w:tc>
        <w:tc>
          <w:tcPr>
            <w:tcW w:w="1981"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top"/>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 xml:space="preserve">28,821.20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52" w:hRule="atLeast"/>
        </w:trPr>
        <w:tc>
          <w:tcPr>
            <w:tcW w:w="881" w:type="dxa"/>
            <w:tcBorders>
              <w:tl2br w:val="nil"/>
              <w:tr2bl w:val="nil"/>
            </w:tcBorders>
            <w:noWrap w:val="0"/>
            <w:vAlign w:val="top"/>
          </w:tcPr>
          <w:p>
            <w:pPr>
              <w:keepNext w:val="0"/>
              <w:keepLines w:val="0"/>
              <w:pageBreakBefore w:val="0"/>
              <w:numPr>
                <w:ilvl w:val="0"/>
                <w:numId w:val="0"/>
              </w:numPr>
              <w:kinsoku/>
              <w:wordWrap/>
              <w:overflowPunct/>
              <w:topLinePunct w:val="0"/>
              <w:autoSpaceDE/>
              <w:autoSpaceDN/>
              <w:bidi w:val="0"/>
              <w:adjustRightInd/>
              <w:snapToGrid w:val="0"/>
              <w:spacing w:line="240" w:lineRule="auto"/>
              <w:jc w:val="center"/>
              <w:rPr>
                <w:rFonts w:hint="default" w:ascii="宋体" w:hAnsi="宋体" w:eastAsia="宋体" w:cs="宋体"/>
                <w:sz w:val="21"/>
                <w:szCs w:val="21"/>
                <w:highlight w:val="none"/>
                <w:vertAlign w:val="baseline"/>
                <w:lang w:val="en-US" w:eastAsia="zh-CN"/>
              </w:rPr>
            </w:pPr>
            <w:r>
              <w:rPr>
                <w:rFonts w:hint="eastAsia" w:ascii="宋体" w:hAnsi="宋体" w:eastAsia="宋体" w:cs="宋体"/>
                <w:sz w:val="21"/>
                <w:szCs w:val="21"/>
                <w:highlight w:val="none"/>
                <w:vertAlign w:val="baseline"/>
                <w:lang w:val="en-US" w:eastAsia="zh-CN"/>
              </w:rPr>
              <w:t>5</w:t>
            </w:r>
          </w:p>
        </w:tc>
        <w:tc>
          <w:tcPr>
            <w:tcW w:w="6155" w:type="dxa"/>
            <w:tcBorders>
              <w:tl2br w:val="nil"/>
              <w:tr2bl w:val="nil"/>
            </w:tcBorders>
            <w:noWrap w:val="0"/>
            <w:vAlign w:val="top"/>
          </w:tcPr>
          <w:p>
            <w:pPr>
              <w:keepNext w:val="0"/>
              <w:keepLines w:val="0"/>
              <w:pageBreakBefore w:val="0"/>
              <w:numPr>
                <w:ilvl w:val="0"/>
                <w:numId w:val="0"/>
              </w:numPr>
              <w:kinsoku/>
              <w:wordWrap/>
              <w:overflowPunct/>
              <w:topLinePunct w:val="0"/>
              <w:autoSpaceDE/>
              <w:autoSpaceDN/>
              <w:bidi w:val="0"/>
              <w:adjustRightInd/>
              <w:snapToGrid w:val="0"/>
              <w:spacing w:line="240" w:lineRule="auto"/>
              <w:jc w:val="left"/>
              <w:rPr>
                <w:rFonts w:hint="default" w:ascii="宋体" w:hAnsi="宋体" w:eastAsia="宋体" w:cs="宋体"/>
                <w:sz w:val="21"/>
                <w:szCs w:val="21"/>
                <w:highlight w:val="none"/>
                <w:vertAlign w:val="baseline"/>
                <w:lang w:val="en-US" w:eastAsia="zh-CN"/>
              </w:rPr>
            </w:pPr>
            <w:r>
              <w:rPr>
                <w:rFonts w:hint="default" w:ascii="宋体" w:hAnsi="宋体" w:eastAsia="宋体" w:cs="宋体"/>
                <w:sz w:val="21"/>
                <w:szCs w:val="21"/>
                <w:highlight w:val="none"/>
                <w:vertAlign w:val="baseline"/>
                <w:lang w:val="en-US" w:eastAsia="zh-CN"/>
              </w:rPr>
              <w:t>“为民办实事”经费</w:t>
            </w:r>
          </w:p>
        </w:tc>
        <w:tc>
          <w:tcPr>
            <w:tcW w:w="1981" w:type="dxa"/>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top"/>
              <w:rPr>
                <w:rFonts w:hint="default" w:ascii="宋体" w:hAnsi="宋体" w:eastAsia="宋体" w:cs="宋体"/>
                <w:sz w:val="21"/>
                <w:szCs w:val="21"/>
                <w:highlight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 xml:space="preserve">15,569.31 </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87" w:hRule="atLeast"/>
        </w:trPr>
        <w:tc>
          <w:tcPr>
            <w:tcW w:w="7036" w:type="dxa"/>
            <w:gridSpan w:val="2"/>
            <w:tcBorders>
              <w:tl2br w:val="nil"/>
              <w:tr2bl w:val="nil"/>
            </w:tcBorders>
            <w:noWrap w:val="0"/>
            <w:vAlign w:val="top"/>
          </w:tcPr>
          <w:p>
            <w:pPr>
              <w:keepNext w:val="0"/>
              <w:keepLines w:val="0"/>
              <w:pageBreakBefore w:val="0"/>
              <w:numPr>
                <w:ilvl w:val="0"/>
                <w:numId w:val="0"/>
              </w:numPr>
              <w:kinsoku/>
              <w:wordWrap/>
              <w:overflowPunct/>
              <w:topLinePunct w:val="0"/>
              <w:autoSpaceDE/>
              <w:autoSpaceDN/>
              <w:bidi w:val="0"/>
              <w:adjustRightInd/>
              <w:snapToGrid w:val="0"/>
              <w:spacing w:line="240" w:lineRule="auto"/>
              <w:jc w:val="center"/>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小计</w:t>
            </w:r>
          </w:p>
        </w:tc>
        <w:tc>
          <w:tcPr>
            <w:tcW w:w="198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 xml:space="preserve">78,435.51 </w:t>
            </w:r>
          </w:p>
        </w:tc>
      </w:tr>
    </w:tbl>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425" w:firstLineChars="0"/>
        <w:textAlignment w:val="auto"/>
        <w:rPr>
          <w:rFonts w:hint="eastAsia" w:ascii="方正仿宋简体" w:hAnsi="方正仿宋简体" w:eastAsia="方正仿宋简体" w:cs="方正仿宋简体"/>
          <w:b w:val="0"/>
          <w:bCs w:val="0"/>
          <w:color w:val="auto"/>
          <w:sz w:val="32"/>
          <w:szCs w:val="32"/>
          <w:highlight w:val="none"/>
          <w:lang w:val="en-US" w:eastAsia="zh-CN"/>
        </w:rPr>
      </w:pPr>
      <w:r>
        <w:rPr>
          <w:rFonts w:hint="eastAsia" w:ascii="方正仿宋简体" w:hAnsi="方正仿宋简体" w:eastAsia="方正仿宋简体" w:cs="方正仿宋简体"/>
          <w:b w:val="0"/>
          <w:bCs w:val="0"/>
          <w:color w:val="auto"/>
          <w:sz w:val="32"/>
          <w:szCs w:val="32"/>
          <w:highlight w:val="none"/>
          <w:lang w:val="en-US" w:eastAsia="zh-CN"/>
        </w:rPr>
        <w:t>疏勒县民政局其他应付款截止2022年12月31日期末余额为3,753,906.16元，其中超过一年以上的挂账金额为2,553,511.84元，具体明细如下：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5" w:leftChars="0" w:right="0" w:rightChars="0"/>
        <w:jc w:val="right"/>
        <w:textAlignment w:val="auto"/>
        <w:outlineLvl w:val="9"/>
        <w:rPr>
          <w:rFonts w:hint="default" w:ascii="仿宋_GB2312" w:hAnsi="Times New Roman" w:eastAsia="仿宋_GB2312" w:cs="Times New Roman"/>
          <w:sz w:val="24"/>
          <w:szCs w:val="24"/>
          <w:highlight w:val="none"/>
          <w:lang w:val="en-US" w:eastAsia="zh-CN"/>
        </w:rPr>
      </w:pPr>
      <w:r>
        <w:rPr>
          <w:rFonts w:hint="eastAsia" w:ascii="仿宋_GB2312" w:hAnsi="Times New Roman" w:eastAsia="仿宋_GB2312" w:cs="Times New Roman"/>
          <w:sz w:val="24"/>
          <w:szCs w:val="24"/>
          <w:highlight w:val="none"/>
          <w:lang w:val="en-US" w:eastAsia="zh-CN"/>
        </w:rPr>
        <w:t>单位：元</w:t>
      </w:r>
    </w:p>
    <w:tbl>
      <w:tblPr>
        <w:tblStyle w:val="9"/>
        <w:tblW w:w="8917" w:type="dxa"/>
        <w:tblInd w:w="0" w:type="dxa"/>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
      <w:tblGrid>
        <w:gridCol w:w="601"/>
        <w:gridCol w:w="4660"/>
        <w:gridCol w:w="1985"/>
        <w:gridCol w:w="1671"/>
      </w:tblGrid>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70" w:hRule="atLeast"/>
        </w:trPr>
        <w:tc>
          <w:tcPr>
            <w:tcW w:w="60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其他应付款往来单位</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期末余额</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超过一年以上的挂账金额</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万全生（独生子女费）</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穆合塔尔奥布里</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0.40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0.40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李为奎</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50,000.00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2018年参保资金结余</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25,500.00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25,500.00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阿布都许库尔·艾力退休津贴</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1,540.00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1,540.00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阳光家园寄宿制补贴</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932.31</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932.31</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地方自然灾害补助资金</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伙食费</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232,960.00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150,070.00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银行退回未代发成功的民政资金</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3,560.00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3,560.00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集中儿童供养</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10,184.00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10,184.00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2中心敬老院资金</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33,000.00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33,000.00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党费</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295.99</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295.99</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王淑芹一次性伤亡补助金</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9,738.91</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财政局拨信息化能力建设资金（援疆资金）</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98,642.00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98,642.00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喀什智翔商贸有限责任公司</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709.00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709.00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23新疆宏天建设工程有限公司</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70,000.00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70,000.00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7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2081002老年福利</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职工社会保险</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41,048.83</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41,048.83</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福利公司社会保险</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22,395.22</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22,395.22</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未发放成功工资</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17,423.74</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17,423.74</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职工工资扣款</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2,382.76</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2,382.76</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社会捐款</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432,225.00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未知收入</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373.00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373.00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地区民政局拨人才培育孵化基地项目</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40,000.00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40,000.00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村级协理员工资及社保</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-775,708.59</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地区慈善总会拨疫情防控专项资金</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34,697.38</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4,697.38</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生育津贴</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107,078.52</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职工水电费</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1,410.00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广东省民政厅资金</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400,000.00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湖北楚枫园林古建筑有限公司</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-40,000.00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低保退款</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127,204.90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12,101.97</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高龄补贴退款</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60,880.75</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960.00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残疾人两项补贴</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1,700.00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1,700.00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特困供养补助</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13,400.00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1,686.00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个人代扣代缴职业年金</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285.28</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个人所得税</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1,730.27</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奖励性绩效扣款</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137,384.00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134,009.00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县自聘人员社保</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4,027.90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基本户利息</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5,869.06</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975.87</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吐逊·阿不都克里木</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7,184.76</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7,184.76</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阿依谢姆·卡迪尔</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2,960.00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2,960.00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帕夏古丽·卡斯木</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2,960.00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2,960.00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图尔逊·阿卜杜开日木</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3,458.18</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3,458.18</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穆合塔尔·奥布力</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872.00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872.00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其他供养人员工资</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8,610.00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袁兰兰</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546.81</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546.81</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2019年普调人员工资</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2,322.00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2,322.00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退休人员工资扣款</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770.00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770.00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阿皮孜古丽·图尔荪</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1,851.00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617.00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艾散·库尔班</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安外尔·麦麦提伊敏</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3,467.85</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新疆合众同兴粮油商贸有限公司</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50,000.00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49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困境儿童保护中心、康复收养中心、英阿瓦提敬老院履约保证金</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621,904.00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621,904.00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54</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新疆景泰益嘉建设工程有限公司</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328,500.00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328,500.00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新疆卓越工程项目管理有限公司喀什一分公司</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3,823.20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3,823.20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56</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喀什华盛康医院有限公司</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60,000.00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60,000.00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57</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疏勒县惠民实业发展有限公司</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898,200.00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898,200.00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58</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新疆喀特建设工程有限责任公司</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81,225.73</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81,225.73</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59</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东营市对口支援新疆疏勒县指挥部转入帮扶资金</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500,000.00</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500,000.00</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50" w:hRule="atLeast"/>
        </w:trPr>
        <w:tc>
          <w:tcPr>
            <w:tcW w:w="601"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top"/>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46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王淑芹一次性伤亡补助金</w:t>
            </w:r>
          </w:p>
        </w:tc>
        <w:tc>
          <w:tcPr>
            <w:tcW w:w="198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9,738.91</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9,738.91</w:t>
            </w:r>
          </w:p>
        </w:tc>
      </w:tr>
      <w:tr>
        <w:tblPrEx>
          <w:tblBorders>
            <w:top w:val="single" w:color="000000" w:sz="12" w:space="0"/>
            <w:left w:val="none" w:color="auto" w:sz="0" w:space="0"/>
            <w:bottom w:val="single" w:color="000000" w:sz="12" w:space="0"/>
            <w:right w:val="none" w:color="auto" w:sz="0" w:space="0"/>
            <w:insideH w:val="dotted" w:color="000000" w:sz="4" w:space="0"/>
            <w:insideV w:val="dotted" w:color="000000" w:sz="4" w:space="0"/>
          </w:tblBorders>
          <w:tblLayout w:type="fixed"/>
          <w:tblCellMar>
            <w:top w:w="0" w:type="dxa"/>
            <w:left w:w="108" w:type="dxa"/>
            <w:bottom w:w="0" w:type="dxa"/>
            <w:right w:w="108" w:type="dxa"/>
          </w:tblCellMar>
        </w:tblPrEx>
        <w:trPr>
          <w:trHeight w:val="281" w:hRule="atLeast"/>
        </w:trPr>
        <w:tc>
          <w:tcPr>
            <w:tcW w:w="5261" w:type="dxa"/>
            <w:gridSpan w:val="2"/>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小计</w:t>
            </w:r>
          </w:p>
        </w:tc>
        <w:tc>
          <w:tcPr>
            <w:tcW w:w="1985"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3,763,645.07</w:t>
            </w:r>
          </w:p>
        </w:tc>
        <w:tc>
          <w:tcPr>
            <w:tcW w:w="1671" w:type="dxa"/>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right"/>
              <w:textAlignment w:val="bottom"/>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2,553,511.84</w:t>
            </w:r>
          </w:p>
        </w:tc>
      </w:tr>
    </w:tbl>
    <w:p>
      <w:pPr>
        <w:ind w:firstLine="640" w:firstLineChars="200"/>
        <w:rPr>
          <w:rFonts w:hint="eastAsia" w:ascii="方正仿宋简体" w:hAnsi="方正仿宋简体" w:eastAsia="方正仿宋简体" w:cs="方正仿宋简体"/>
          <w:b w:val="0"/>
          <w:bCs w:val="0"/>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上述做法违反了《行政单位财务规则》第36条“行政单位应当加强对暂存款项的管理，不得将应当纳入单位收入管理的款项列入暂存款项；对各种暂存款项应当及时清理、结算，不得长期挂账。”《行政单位财务规则》第29条“行政单位应当严格控制暂付款的规模，并及时进行清理，不得长期挂账。”  《事业单位会计准则(试行)》第30条“各种应付款项和应缴款项应及时清理并按规定办理结算，不得长期挂账。”《事业单位会计准则(试行)》第23条“各种应收及预付款项应当定期与债务人对账核实。及时清算、催收。</w:t>
      </w:r>
    </w:p>
    <w:p>
      <w:pPr>
        <w:numPr>
          <w:ilvl w:val="0"/>
          <w:numId w:val="0"/>
        </w:numPr>
        <w:ind w:firstLine="640" w:firstLineChars="200"/>
        <w:rPr>
          <w:rFonts w:hint="eastAsia" w:ascii="方正仿宋简体" w:hAnsi="方正仿宋简体" w:eastAsia="方正仿宋简体" w:cs="方正仿宋简体"/>
          <w:b w:val="0"/>
          <w:bCs w:val="0"/>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依据：《财政部关于建立健全企业应收款项管理制度的通知》“企业应当按照客户设立应收款项台账，详细反映内部各业务部门以及各个客户应收款项的发生、增减变动、余额及其每笔账龄等财务信息。同时加强合同管理，对债务人执行合同情况进行跟踪分析，防止坏账风险的发生。企业财务管理部门应当定期编制应收款项明细表，向企业管理人员和有关业务部门反映应收款项的余额和账龄等信息，及时分析应收款项管理情况，提请有关责任部门采取相应的措施，减少企业资产损失。”的规定</w:t>
      </w:r>
      <w:r>
        <w:rPr>
          <w:rFonts w:hint="eastAsia" w:ascii="方正仿宋简体" w:hAnsi="方正仿宋简体" w:eastAsia="方正仿宋简体" w:cs="方正仿宋简体"/>
          <w:i w:val="0"/>
          <w:iCs w:val="0"/>
          <w:caps w:val="0"/>
          <w:color w:val="000000"/>
          <w:spacing w:val="0"/>
          <w:sz w:val="32"/>
          <w:szCs w:val="32"/>
          <w:highlight w:val="none"/>
          <w:shd w:val="clear" w:color="auto" w:fill="FFFFFF"/>
          <w:vertAlign w:val="baseline"/>
        </w:rPr>
        <w:t>。 </w:t>
      </w:r>
    </w:p>
    <w:p>
      <w:pPr>
        <w:numPr>
          <w:ilvl w:val="0"/>
          <w:numId w:val="0"/>
        </w:numPr>
        <w:ind w:firstLine="640" w:firstLineChars="200"/>
        <w:rPr>
          <w:rFonts w:hint="eastAsia" w:ascii="方正仿宋简体" w:hAnsi="方正仿宋简体" w:eastAsia="方正仿宋简体" w:cs="方正仿宋简体"/>
          <w:kern w:val="2"/>
          <w:sz w:val="32"/>
          <w:szCs w:val="32"/>
          <w:highlight w:val="none"/>
          <w:lang w:val="en-US" w:eastAsia="zh-CN" w:bidi="ar-SA"/>
        </w:rPr>
      </w:pPr>
      <w:r>
        <w:rPr>
          <w:rFonts w:hint="eastAsia" w:ascii="方正仿宋简体" w:hAnsi="方正仿宋简体" w:eastAsia="方正仿宋简体" w:cs="方正仿宋简体"/>
          <w:b w:val="0"/>
          <w:bCs w:val="0"/>
          <w:sz w:val="32"/>
          <w:szCs w:val="32"/>
          <w:highlight w:val="none"/>
          <w:lang w:val="en-US" w:eastAsia="zh-CN"/>
        </w:rPr>
        <w:t>处理（处罚）意见：责令</w:t>
      </w:r>
      <w:r>
        <w:rPr>
          <w:rFonts w:hint="eastAsia" w:ascii="方正仿宋简体" w:hAnsi="方正仿宋简体" w:eastAsia="方正仿宋简体" w:cs="方正仿宋简体"/>
          <w:b w:val="0"/>
          <w:bCs w:val="0"/>
          <w:kern w:val="2"/>
          <w:sz w:val="32"/>
          <w:szCs w:val="32"/>
          <w:highlight w:val="none"/>
          <w:lang w:val="en-US" w:eastAsia="zh-CN" w:bidi="ar-SA"/>
        </w:rPr>
        <w:t>疏勒县民政局</w:t>
      </w:r>
      <w:r>
        <w:rPr>
          <w:rFonts w:hint="eastAsia" w:ascii="方正仿宋简体" w:hAnsi="方正仿宋简体" w:eastAsia="方正仿宋简体" w:cs="方正仿宋简体"/>
          <w:kern w:val="2"/>
          <w:sz w:val="32"/>
          <w:szCs w:val="32"/>
          <w:highlight w:val="none"/>
          <w:lang w:val="en-US" w:eastAsia="zh-CN" w:bidi="ar-SA"/>
        </w:rPr>
        <w:t>在审计期间，认真核查、逐笔逐项分析，及时梳理，并将清理结果上报财政局监察股。</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疏勒县民政局固定资产管理存在未能根据实际情况及时入账的情况。</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right="0" w:rightChars="0" w:firstLine="425" w:firstLineChars="0"/>
        <w:jc w:val="both"/>
        <w:textAlignment w:val="auto"/>
        <w:outlineLvl w:val="9"/>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疏勒县民政局存在2部车辆未入账的情况，具体情况如下：</w:t>
      </w:r>
    </w:p>
    <w:tbl>
      <w:tblPr>
        <w:tblStyle w:val="10"/>
        <w:tblW w:w="8998"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495"/>
        <w:gridCol w:w="1431"/>
        <w:gridCol w:w="2285"/>
        <w:gridCol w:w="1143"/>
        <w:gridCol w:w="1644"/>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c>
          <w:tcPr>
            <w:tcW w:w="2495" w:type="dxa"/>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方正仿宋简体" w:hAnsi="方正仿宋简体" w:eastAsia="方正仿宋简体" w:cs="方正仿宋简体"/>
                <w:b w:val="0"/>
                <w:bCs w:val="0"/>
                <w:sz w:val="32"/>
                <w:szCs w:val="32"/>
                <w:highlight w:val="none"/>
                <w:vertAlign w:val="baseline"/>
                <w:lang w:eastAsia="zh-CN"/>
              </w:rPr>
            </w:pPr>
            <w:r>
              <w:rPr>
                <w:rFonts w:hint="eastAsia" w:ascii="方正仿宋简体" w:hAnsi="方正仿宋简体" w:eastAsia="方正仿宋简体" w:cs="方正仿宋简体"/>
                <w:b w:val="0"/>
                <w:bCs w:val="0"/>
                <w:sz w:val="32"/>
                <w:szCs w:val="32"/>
                <w:highlight w:val="none"/>
                <w:vertAlign w:val="baseline"/>
                <w:lang w:eastAsia="zh-CN"/>
              </w:rPr>
              <w:t>品牌型号</w:t>
            </w:r>
          </w:p>
        </w:tc>
        <w:tc>
          <w:tcPr>
            <w:tcW w:w="1431" w:type="dxa"/>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方正仿宋简体" w:hAnsi="方正仿宋简体" w:eastAsia="方正仿宋简体" w:cs="方正仿宋简体"/>
                <w:b w:val="0"/>
                <w:bCs w:val="0"/>
                <w:sz w:val="32"/>
                <w:szCs w:val="32"/>
                <w:highlight w:val="none"/>
                <w:vertAlign w:val="baseline"/>
                <w:lang w:eastAsia="zh-CN"/>
              </w:rPr>
            </w:pPr>
            <w:r>
              <w:rPr>
                <w:rFonts w:hint="eastAsia" w:ascii="方正仿宋简体" w:hAnsi="方正仿宋简体" w:eastAsia="方正仿宋简体" w:cs="方正仿宋简体"/>
                <w:b w:val="0"/>
                <w:bCs w:val="0"/>
                <w:sz w:val="32"/>
                <w:szCs w:val="32"/>
                <w:highlight w:val="none"/>
                <w:vertAlign w:val="baseline"/>
                <w:lang w:eastAsia="zh-CN"/>
              </w:rPr>
              <w:t>车牌号</w:t>
            </w:r>
          </w:p>
        </w:tc>
        <w:tc>
          <w:tcPr>
            <w:tcW w:w="2285" w:type="dxa"/>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方正仿宋简体" w:hAnsi="方正仿宋简体" w:eastAsia="方正仿宋简体" w:cs="方正仿宋简体"/>
                <w:b w:val="0"/>
                <w:bCs w:val="0"/>
                <w:sz w:val="32"/>
                <w:szCs w:val="32"/>
                <w:highlight w:val="none"/>
                <w:vertAlign w:val="baseline"/>
                <w:lang w:val="en-US" w:eastAsia="zh-CN"/>
              </w:rPr>
            </w:pPr>
            <w:r>
              <w:rPr>
                <w:rFonts w:hint="eastAsia" w:ascii="方正仿宋简体" w:hAnsi="方正仿宋简体" w:eastAsia="方正仿宋简体" w:cs="方正仿宋简体"/>
                <w:b w:val="0"/>
                <w:bCs w:val="0"/>
                <w:sz w:val="32"/>
                <w:szCs w:val="32"/>
                <w:highlight w:val="none"/>
                <w:vertAlign w:val="baseline"/>
                <w:lang w:val="en-US" w:eastAsia="zh-CN"/>
              </w:rPr>
              <w:t>车架号</w:t>
            </w:r>
          </w:p>
        </w:tc>
        <w:tc>
          <w:tcPr>
            <w:tcW w:w="1143" w:type="dxa"/>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方正仿宋简体" w:hAnsi="方正仿宋简体" w:eastAsia="方正仿宋简体" w:cs="方正仿宋简体"/>
                <w:b w:val="0"/>
                <w:bCs w:val="0"/>
                <w:sz w:val="32"/>
                <w:szCs w:val="32"/>
                <w:highlight w:val="none"/>
                <w:vertAlign w:val="baseline"/>
                <w:lang w:eastAsia="zh-CN"/>
              </w:rPr>
            </w:pPr>
            <w:r>
              <w:rPr>
                <w:rFonts w:hint="eastAsia" w:ascii="方正仿宋简体" w:hAnsi="方正仿宋简体" w:eastAsia="方正仿宋简体" w:cs="方正仿宋简体"/>
                <w:b w:val="0"/>
                <w:bCs w:val="0"/>
                <w:sz w:val="32"/>
                <w:szCs w:val="32"/>
                <w:highlight w:val="none"/>
                <w:vertAlign w:val="baseline"/>
                <w:lang w:eastAsia="zh-CN"/>
              </w:rPr>
              <w:t>盘点情况</w:t>
            </w:r>
          </w:p>
        </w:tc>
        <w:tc>
          <w:tcPr>
            <w:tcW w:w="1644" w:type="dxa"/>
            <w:tcBorders>
              <w:tl2br w:val="nil"/>
              <w:tr2bl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方正仿宋简体" w:hAnsi="方正仿宋简体" w:eastAsia="方正仿宋简体" w:cs="方正仿宋简体"/>
                <w:b w:val="0"/>
                <w:bCs w:val="0"/>
                <w:sz w:val="32"/>
                <w:szCs w:val="32"/>
                <w:highlight w:val="none"/>
                <w:vertAlign w:val="baseline"/>
                <w:lang w:eastAsia="zh-CN"/>
              </w:rPr>
            </w:pPr>
            <w:r>
              <w:rPr>
                <w:rFonts w:hint="eastAsia" w:ascii="方正仿宋简体" w:hAnsi="方正仿宋简体" w:eastAsia="方正仿宋简体" w:cs="方正仿宋简体"/>
                <w:b w:val="0"/>
                <w:bCs w:val="0"/>
                <w:sz w:val="32"/>
                <w:szCs w:val="32"/>
                <w:highlight w:val="none"/>
                <w:vertAlign w:val="baseline"/>
                <w:lang w:eastAsia="zh-CN"/>
              </w:rPr>
              <w:t>产权形式</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81" w:hRule="atLeast"/>
        </w:trPr>
        <w:tc>
          <w:tcPr>
            <w:tcW w:w="249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ind w:left="0" w:right="0"/>
              <w:jc w:val="left"/>
              <w:textAlignment w:val="auto"/>
              <w:rPr>
                <w:rFonts w:hint="eastAsia" w:ascii="方正仿宋简体" w:hAnsi="方正仿宋简体" w:eastAsia="方正仿宋简体" w:cs="方正仿宋简体"/>
                <w:b w:val="0"/>
                <w:bCs w:val="0"/>
                <w:color w:val="000000"/>
                <w:kern w:val="2"/>
                <w:sz w:val="32"/>
                <w:szCs w:val="32"/>
                <w:highlight w:val="none"/>
                <w:lang w:val="en-US" w:eastAsia="zh-CN" w:bidi="ar-SA"/>
              </w:rPr>
            </w:pPr>
            <w:r>
              <w:rPr>
                <w:rFonts w:hint="eastAsia" w:ascii="方正仿宋简体" w:hAnsi="方正仿宋简体" w:eastAsia="方正仿宋简体" w:cs="方正仿宋简体"/>
                <w:b w:val="0"/>
                <w:bCs w:val="0"/>
                <w:color w:val="000000"/>
                <w:kern w:val="2"/>
                <w:sz w:val="32"/>
                <w:szCs w:val="32"/>
                <w:highlight w:val="none"/>
                <w:lang w:val="en-US" w:eastAsia="zh-CN" w:bidi="ar-SA"/>
              </w:rPr>
              <w:t>西北牌X85020X2H</w:t>
            </w:r>
          </w:p>
        </w:tc>
        <w:tc>
          <w:tcPr>
            <w:tcW w:w="143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ind w:left="0" w:right="0"/>
              <w:jc w:val="center"/>
              <w:textAlignment w:val="auto"/>
              <w:rPr>
                <w:rFonts w:hint="eastAsia" w:ascii="方正仿宋简体" w:hAnsi="方正仿宋简体" w:eastAsia="方正仿宋简体" w:cs="方正仿宋简体"/>
                <w:b w:val="0"/>
                <w:bCs w:val="0"/>
                <w:color w:val="000000"/>
                <w:sz w:val="32"/>
                <w:szCs w:val="32"/>
                <w:highlight w:val="none"/>
              </w:rPr>
            </w:pPr>
            <w:r>
              <w:rPr>
                <w:rFonts w:hint="eastAsia" w:ascii="方正仿宋简体" w:hAnsi="方正仿宋简体" w:eastAsia="方正仿宋简体" w:cs="方正仿宋简体"/>
                <w:b w:val="0"/>
                <w:bCs w:val="0"/>
                <w:color w:val="000000"/>
                <w:sz w:val="32"/>
                <w:szCs w:val="32"/>
                <w:highlight w:val="none"/>
              </w:rPr>
              <w:t>新Q</w:t>
            </w:r>
            <w:r>
              <w:rPr>
                <w:rFonts w:hint="eastAsia" w:ascii="方正仿宋简体" w:hAnsi="方正仿宋简体" w:eastAsia="方正仿宋简体" w:cs="方正仿宋简体"/>
                <w:b w:val="0"/>
                <w:bCs w:val="0"/>
                <w:color w:val="000000"/>
                <w:sz w:val="32"/>
                <w:szCs w:val="32"/>
                <w:highlight w:val="none"/>
                <w:lang w:val="en-US" w:eastAsia="zh-CN"/>
              </w:rPr>
              <w:t>MJ222</w:t>
            </w:r>
          </w:p>
        </w:tc>
        <w:tc>
          <w:tcPr>
            <w:tcW w:w="228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ind w:left="0" w:right="0"/>
              <w:jc w:val="center"/>
              <w:textAlignment w:val="auto"/>
              <w:rPr>
                <w:rFonts w:hint="eastAsia" w:ascii="方正仿宋简体" w:hAnsi="方正仿宋简体" w:eastAsia="方正仿宋简体" w:cs="方正仿宋简体"/>
                <w:b w:val="0"/>
                <w:bCs w:val="0"/>
                <w:color w:val="000000"/>
                <w:kern w:val="2"/>
                <w:sz w:val="32"/>
                <w:szCs w:val="32"/>
                <w:highlight w:val="none"/>
                <w:lang w:val="en-US" w:eastAsia="zh-CN" w:bidi="ar-SA"/>
              </w:rPr>
            </w:pPr>
            <w:r>
              <w:rPr>
                <w:rFonts w:hint="eastAsia" w:ascii="方正仿宋简体" w:hAnsi="方正仿宋简体" w:eastAsia="方正仿宋简体" w:cs="方正仿宋简体"/>
                <w:b w:val="0"/>
                <w:bCs w:val="0"/>
                <w:color w:val="000000"/>
                <w:kern w:val="2"/>
                <w:sz w:val="32"/>
                <w:szCs w:val="32"/>
                <w:highlight w:val="none"/>
                <w:lang w:val="en-US" w:eastAsia="zh-CN" w:bidi="ar-SA"/>
              </w:rPr>
              <w:t>LVSHJCAC8FE1521</w:t>
            </w:r>
          </w:p>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ind w:left="0" w:right="0"/>
              <w:jc w:val="center"/>
              <w:textAlignment w:val="auto"/>
              <w:rPr>
                <w:rFonts w:hint="eastAsia" w:ascii="方正仿宋简体" w:hAnsi="方正仿宋简体" w:eastAsia="方正仿宋简体" w:cs="方正仿宋简体"/>
                <w:b w:val="0"/>
                <w:bCs w:val="0"/>
                <w:color w:val="000000"/>
                <w:kern w:val="2"/>
                <w:sz w:val="32"/>
                <w:szCs w:val="32"/>
                <w:highlight w:val="none"/>
                <w:lang w:val="en-US" w:eastAsia="zh-CN" w:bidi="ar-SA"/>
              </w:rPr>
            </w:pPr>
            <w:r>
              <w:rPr>
                <w:rFonts w:hint="eastAsia" w:ascii="方正仿宋简体" w:hAnsi="方正仿宋简体" w:eastAsia="方正仿宋简体" w:cs="方正仿宋简体"/>
                <w:b w:val="0"/>
                <w:bCs w:val="0"/>
                <w:color w:val="000000"/>
                <w:kern w:val="2"/>
                <w:sz w:val="32"/>
                <w:szCs w:val="32"/>
                <w:highlight w:val="none"/>
                <w:lang w:val="en-US" w:eastAsia="zh-CN" w:bidi="ar-SA"/>
              </w:rPr>
              <w:t>16</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ind w:left="0" w:right="0"/>
              <w:jc w:val="center"/>
              <w:textAlignment w:val="auto"/>
              <w:rPr>
                <w:rFonts w:hint="eastAsia" w:ascii="方正仿宋简体" w:hAnsi="方正仿宋简体" w:eastAsia="方正仿宋简体" w:cs="方正仿宋简体"/>
                <w:b w:val="0"/>
                <w:bCs w:val="0"/>
                <w:color w:val="000000"/>
                <w:sz w:val="32"/>
                <w:szCs w:val="32"/>
                <w:highlight w:val="none"/>
                <w:lang w:eastAsia="zh-CN"/>
              </w:rPr>
            </w:pPr>
            <w:r>
              <w:rPr>
                <w:rFonts w:hint="eastAsia" w:ascii="方正仿宋简体" w:hAnsi="方正仿宋简体" w:eastAsia="方正仿宋简体" w:cs="方正仿宋简体"/>
                <w:b w:val="0"/>
                <w:bCs w:val="0"/>
                <w:color w:val="000000"/>
                <w:sz w:val="32"/>
                <w:szCs w:val="32"/>
                <w:highlight w:val="none"/>
                <w:lang w:eastAsia="zh-CN"/>
              </w:rPr>
              <w:t>在用</w:t>
            </w:r>
          </w:p>
        </w:tc>
        <w:tc>
          <w:tcPr>
            <w:tcW w:w="16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Lines="0" w:beforeAutospacing="0" w:after="0" w:afterLines="0" w:afterAutospacing="0"/>
              <w:ind w:left="0" w:right="0"/>
              <w:jc w:val="center"/>
              <w:textAlignment w:val="auto"/>
              <w:rPr>
                <w:rFonts w:hint="eastAsia" w:ascii="方正仿宋简体" w:hAnsi="方正仿宋简体" w:eastAsia="方正仿宋简体" w:cs="方正仿宋简体"/>
                <w:b w:val="0"/>
                <w:bCs w:val="0"/>
                <w:color w:val="000000"/>
                <w:sz w:val="32"/>
                <w:szCs w:val="32"/>
                <w:highlight w:val="none"/>
              </w:rPr>
            </w:pPr>
            <w:r>
              <w:rPr>
                <w:rFonts w:hint="eastAsia" w:ascii="方正仿宋简体" w:hAnsi="方正仿宋简体" w:eastAsia="方正仿宋简体" w:cs="方正仿宋简体"/>
                <w:b w:val="0"/>
                <w:bCs w:val="0"/>
                <w:color w:val="000000"/>
                <w:sz w:val="32"/>
                <w:szCs w:val="32"/>
                <w:highlight w:val="none"/>
                <w:lang w:eastAsia="zh-CN"/>
              </w:rPr>
              <w:t>有产权，</w:t>
            </w:r>
            <w:r>
              <w:rPr>
                <w:rFonts w:hint="eastAsia" w:ascii="方正仿宋简体" w:hAnsi="方正仿宋简体" w:eastAsia="方正仿宋简体" w:cs="方正仿宋简体"/>
                <w:b w:val="0"/>
                <w:bCs w:val="0"/>
                <w:color w:val="000000"/>
                <w:kern w:val="2"/>
                <w:sz w:val="32"/>
                <w:szCs w:val="32"/>
                <w:highlight w:val="none"/>
                <w:lang w:val="en-US" w:eastAsia="zh-CN" w:bidi="ar-SA"/>
              </w:rPr>
              <w:t>自治区配下来的车</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c>
          <w:tcPr>
            <w:tcW w:w="249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left"/>
              <w:textAlignment w:val="auto"/>
              <w:rPr>
                <w:rFonts w:hint="eastAsia" w:ascii="方正仿宋简体" w:hAnsi="方正仿宋简体" w:eastAsia="方正仿宋简体" w:cs="方正仿宋简体"/>
                <w:b w:val="0"/>
                <w:bCs w:val="0"/>
                <w:sz w:val="32"/>
                <w:szCs w:val="32"/>
                <w:highlight w:val="none"/>
                <w:vertAlign w:val="baseline"/>
                <w:lang w:val="en-US" w:eastAsia="zh-CN"/>
              </w:rPr>
            </w:pPr>
            <w:r>
              <w:rPr>
                <w:rFonts w:hint="eastAsia" w:ascii="方正仿宋简体" w:hAnsi="方正仿宋简体" w:eastAsia="方正仿宋简体" w:cs="方正仿宋简体"/>
                <w:b w:val="0"/>
                <w:bCs w:val="0"/>
                <w:color w:val="000000"/>
                <w:kern w:val="2"/>
                <w:sz w:val="32"/>
                <w:szCs w:val="32"/>
                <w:highlight w:val="none"/>
                <w:lang w:val="en-US" w:eastAsia="zh-CN" w:bidi="ar-SA"/>
              </w:rPr>
              <w:t>福田牌BJ5030XBY-V2</w:t>
            </w:r>
          </w:p>
        </w:tc>
        <w:tc>
          <w:tcPr>
            <w:tcW w:w="143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方正仿宋简体" w:hAnsi="方正仿宋简体" w:eastAsia="方正仿宋简体" w:cs="方正仿宋简体"/>
                <w:b w:val="0"/>
                <w:bCs w:val="0"/>
                <w:sz w:val="32"/>
                <w:szCs w:val="32"/>
                <w:highlight w:val="none"/>
                <w:vertAlign w:val="baseline"/>
                <w:lang w:val="en-US" w:eastAsia="zh-CN"/>
              </w:rPr>
            </w:pPr>
            <w:r>
              <w:rPr>
                <w:rFonts w:hint="eastAsia" w:ascii="方正仿宋简体" w:hAnsi="方正仿宋简体" w:eastAsia="方正仿宋简体" w:cs="方正仿宋简体"/>
                <w:b w:val="0"/>
                <w:bCs w:val="0"/>
                <w:color w:val="000000"/>
                <w:sz w:val="32"/>
                <w:szCs w:val="32"/>
                <w:highlight w:val="none"/>
              </w:rPr>
              <w:t>新Q</w:t>
            </w:r>
            <w:r>
              <w:rPr>
                <w:rFonts w:hint="eastAsia" w:ascii="方正仿宋简体" w:hAnsi="方正仿宋简体" w:eastAsia="方正仿宋简体" w:cs="方正仿宋简体"/>
                <w:b w:val="0"/>
                <w:bCs w:val="0"/>
                <w:color w:val="000000"/>
                <w:sz w:val="32"/>
                <w:szCs w:val="32"/>
                <w:highlight w:val="none"/>
                <w:lang w:val="en-US" w:eastAsia="zh-CN"/>
              </w:rPr>
              <w:t>1H189</w:t>
            </w:r>
          </w:p>
        </w:tc>
        <w:tc>
          <w:tcPr>
            <w:tcW w:w="228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方正仿宋简体" w:hAnsi="方正仿宋简体" w:eastAsia="方正仿宋简体" w:cs="方正仿宋简体"/>
                <w:b w:val="0"/>
                <w:bCs w:val="0"/>
                <w:sz w:val="32"/>
                <w:szCs w:val="32"/>
                <w:highlight w:val="none"/>
                <w:vertAlign w:val="baseline"/>
                <w:lang w:val="en-US" w:eastAsia="zh-CN"/>
              </w:rPr>
            </w:pPr>
            <w:r>
              <w:rPr>
                <w:rFonts w:hint="eastAsia" w:ascii="方正仿宋简体" w:hAnsi="方正仿宋简体" w:eastAsia="方正仿宋简体" w:cs="方正仿宋简体"/>
                <w:b w:val="0"/>
                <w:bCs w:val="0"/>
                <w:sz w:val="32"/>
                <w:szCs w:val="32"/>
                <w:highlight w:val="none"/>
                <w:vertAlign w:val="baseline"/>
                <w:lang w:val="en-US" w:eastAsia="zh-CN"/>
              </w:rPr>
              <w:t>LVCB2NWA9HS011187</w:t>
            </w:r>
          </w:p>
        </w:tc>
        <w:tc>
          <w:tcPr>
            <w:tcW w:w="114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方正仿宋简体" w:hAnsi="方正仿宋简体" w:eastAsia="方正仿宋简体" w:cs="方正仿宋简体"/>
                <w:b w:val="0"/>
                <w:bCs w:val="0"/>
                <w:sz w:val="32"/>
                <w:szCs w:val="32"/>
                <w:highlight w:val="none"/>
                <w:vertAlign w:val="baseline"/>
                <w:lang w:eastAsia="zh-CN"/>
              </w:rPr>
            </w:pPr>
            <w:r>
              <w:rPr>
                <w:rFonts w:hint="eastAsia" w:ascii="方正仿宋简体" w:hAnsi="方正仿宋简体" w:eastAsia="方正仿宋简体" w:cs="方正仿宋简体"/>
                <w:b w:val="0"/>
                <w:bCs w:val="0"/>
                <w:color w:val="000000"/>
                <w:sz w:val="32"/>
                <w:szCs w:val="32"/>
                <w:highlight w:val="none"/>
                <w:lang w:eastAsia="zh-CN"/>
              </w:rPr>
              <w:t>在用</w:t>
            </w:r>
          </w:p>
        </w:tc>
        <w:tc>
          <w:tcPr>
            <w:tcW w:w="164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uto"/>
              <w:ind w:left="0" w:right="0"/>
              <w:jc w:val="center"/>
              <w:textAlignment w:val="auto"/>
              <w:rPr>
                <w:rFonts w:hint="eastAsia" w:ascii="方正仿宋简体" w:hAnsi="方正仿宋简体" w:eastAsia="方正仿宋简体" w:cs="方正仿宋简体"/>
                <w:b w:val="0"/>
                <w:bCs w:val="0"/>
                <w:sz w:val="32"/>
                <w:szCs w:val="32"/>
                <w:highlight w:val="none"/>
                <w:vertAlign w:val="baseline"/>
                <w:lang w:eastAsia="zh-CN"/>
              </w:rPr>
            </w:pPr>
            <w:r>
              <w:rPr>
                <w:rFonts w:hint="eastAsia" w:ascii="方正仿宋简体" w:hAnsi="方正仿宋简体" w:eastAsia="方正仿宋简体" w:cs="方正仿宋简体"/>
                <w:b w:val="0"/>
                <w:bCs w:val="0"/>
                <w:color w:val="000000"/>
                <w:sz w:val="32"/>
                <w:szCs w:val="32"/>
                <w:highlight w:val="none"/>
                <w:lang w:eastAsia="zh-CN"/>
              </w:rPr>
              <w:t>有产权，</w:t>
            </w:r>
          </w:p>
        </w:tc>
      </w:tr>
    </w:tbl>
    <w:p>
      <w:pPr>
        <w:ind w:firstLine="640" w:firstLineChars="200"/>
        <w:rPr>
          <w:rFonts w:hint="eastAsia" w:ascii="方正仿宋简体" w:hAnsi="方正仿宋简体" w:eastAsia="方正仿宋简体" w:cs="方正仿宋简体"/>
          <w:b w:val="0"/>
          <w:bCs w:val="0"/>
          <w:sz w:val="32"/>
          <w:szCs w:val="32"/>
          <w:highlight w:val="none"/>
          <w:lang w:val="en-US" w:eastAsia="zh-CN"/>
        </w:rPr>
      </w:pPr>
      <w:r>
        <w:rPr>
          <w:rFonts w:hint="eastAsia" w:ascii="方正仿宋简体" w:hAnsi="方正仿宋简体" w:eastAsia="方正仿宋简体" w:cs="方正仿宋简体"/>
          <w:b w:val="0"/>
          <w:bCs w:val="0"/>
          <w:sz w:val="32"/>
          <w:szCs w:val="32"/>
          <w:highlight w:val="none"/>
          <w:lang w:val="en-US" w:eastAsia="zh-CN"/>
        </w:rPr>
        <w:t>上述做法违反了：《行政单位国有资产管理暂行办法》第二十七条：行政单位国有资产处置，是指行政单位国有资产产权的转移及核销，包括各类国有资产的无偿转让、出售、置换、报损、报废等。第二十八条：行政单位需处置的国有资产范围包括：（一）闲置资产；（二）因技术原因并经过科学论证，确需报废、淘汰的资产；（三）因单位分立、撤销、合并、改制、隶属关系改变等原因发生的产权或者使用权转移的资产；（四）盘亏、呆账及非正常损失的资产；（五）已超过使用年限无法使用的资产；（六）依照国家有关规定需要进行资产处置的其他情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right="0" w:firstLine="640" w:firstLineChars="200"/>
        <w:textAlignment w:val="auto"/>
        <w:rPr>
          <w:rFonts w:hint="eastAsia" w:ascii="方正仿宋简体" w:hAnsi="方正仿宋简体" w:eastAsia="方正仿宋简体" w:cs="方正仿宋简体"/>
          <w:b w:val="0"/>
          <w:bCs w:val="0"/>
          <w:kern w:val="2"/>
          <w:sz w:val="32"/>
          <w:szCs w:val="32"/>
          <w:highlight w:val="none"/>
          <w:lang w:val="en-US" w:eastAsia="zh-CN" w:bidi="ar-SA"/>
        </w:rPr>
      </w:pPr>
      <w:r>
        <w:rPr>
          <w:rFonts w:hint="eastAsia" w:ascii="方正仿宋简体" w:hAnsi="方正仿宋简体" w:eastAsia="方正仿宋简体" w:cs="方正仿宋简体"/>
          <w:b w:val="0"/>
          <w:bCs w:val="0"/>
          <w:kern w:val="2"/>
          <w:sz w:val="32"/>
          <w:szCs w:val="32"/>
          <w:highlight w:val="none"/>
          <w:lang w:val="en-US" w:eastAsia="zh-CN" w:bidi="ar-SA"/>
        </w:rPr>
        <w:t>依据：《行政单位会计制度》第七条行政单位的固定资产应当定期进行清查盘点，每年至少盘点一次。对于固定资产发生盘盈、盘亏的，应当及时查明原因，按照规定报经批准后进行账务处理。</w:t>
      </w:r>
      <w:bookmarkStart w:id="0" w:name="No305_Z8T39K46"/>
      <w:bookmarkEnd w:id="0"/>
      <w:r>
        <w:rPr>
          <w:rFonts w:hint="eastAsia" w:ascii="方正仿宋简体" w:hAnsi="方正仿宋简体" w:eastAsia="方正仿宋简体" w:cs="方正仿宋简体"/>
          <w:b w:val="0"/>
          <w:bCs w:val="0"/>
          <w:kern w:val="2"/>
          <w:sz w:val="32"/>
          <w:szCs w:val="32"/>
          <w:highlight w:val="none"/>
          <w:lang w:val="en-US" w:eastAsia="zh-CN" w:bidi="ar-SA"/>
        </w:rPr>
        <w:t>1.盘盈的固定资产，按照取得同类或类似固定资产的实际成本确定入账价值；没有同类或类似固定资产的实际成本，按照同类或类似固定资产的市场价格确定入账价值；同类或类似固定资产的实际成本或市场价格无法可靠取得，按照名义金额入账。</w:t>
      </w:r>
      <w:bookmarkStart w:id="1" w:name="No306_Z8T39K47"/>
      <w:bookmarkEnd w:id="1"/>
      <w:r>
        <w:rPr>
          <w:rFonts w:hint="eastAsia" w:ascii="方正仿宋简体" w:hAnsi="方正仿宋简体" w:eastAsia="方正仿宋简体" w:cs="方正仿宋简体"/>
          <w:b w:val="0"/>
          <w:bCs w:val="0"/>
          <w:kern w:val="2"/>
          <w:sz w:val="32"/>
          <w:szCs w:val="32"/>
          <w:highlight w:val="none"/>
          <w:lang w:val="en-US" w:eastAsia="zh-CN" w:bidi="ar-SA"/>
        </w:rPr>
        <w:t>盘盈的固定资产，按照确定的入账价值，借记本科目，贷记“待处理财产损溢”科目。</w:t>
      </w:r>
      <w:bookmarkStart w:id="2" w:name="No307_Z8T39K48"/>
      <w:bookmarkEnd w:id="2"/>
      <w:r>
        <w:rPr>
          <w:rFonts w:hint="eastAsia" w:ascii="方正仿宋简体" w:hAnsi="方正仿宋简体" w:eastAsia="方正仿宋简体" w:cs="方正仿宋简体"/>
          <w:b w:val="0"/>
          <w:bCs w:val="0"/>
          <w:kern w:val="2"/>
          <w:sz w:val="32"/>
          <w:szCs w:val="32"/>
          <w:highlight w:val="none"/>
          <w:lang w:val="en-US" w:eastAsia="zh-CN" w:bidi="ar-SA"/>
        </w:rPr>
        <w:t>2.盘亏的固定资产，按照盘亏固定资产的账面价值，借记“待处理财产损溢”科目，按照已计提折旧，借记“累计折旧”科目，按照固定资产账面余额，贷记本科目。</w:t>
      </w:r>
    </w:p>
    <w:p>
      <w:pPr>
        <w:ind w:firstLine="640" w:firstLineChars="200"/>
        <w:rPr>
          <w:rFonts w:hint="eastAsia" w:ascii="方正仿宋简体" w:hAnsi="方正仿宋简体" w:eastAsia="方正仿宋简体" w:cs="方正仿宋简体"/>
          <w:b w:val="0"/>
          <w:bCs w:val="0"/>
          <w:kern w:val="2"/>
          <w:sz w:val="32"/>
          <w:szCs w:val="32"/>
          <w:highlight w:val="none"/>
          <w:lang w:val="en-US" w:eastAsia="zh-CN" w:bidi="ar-SA"/>
        </w:rPr>
      </w:pPr>
      <w:bookmarkStart w:id="3" w:name="No308_T39K48X6"/>
      <w:bookmarkEnd w:id="3"/>
      <w:r>
        <w:rPr>
          <w:rFonts w:hint="eastAsia" w:ascii="方正仿宋简体" w:hAnsi="方正仿宋简体" w:eastAsia="方正仿宋简体" w:cs="方正仿宋简体"/>
          <w:b w:val="0"/>
          <w:bCs w:val="0"/>
          <w:kern w:val="2"/>
          <w:sz w:val="32"/>
          <w:szCs w:val="32"/>
          <w:highlight w:val="none"/>
          <w:lang w:val="en-US" w:eastAsia="zh-CN" w:bidi="ar-SA"/>
        </w:rPr>
        <w:t>处理（处罚）意见：责令疏勒县民政局在审计期间，认真核查、逐笔逐项分析，及时梳理，并将清理结果上报财政局监察股。</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疏勒县民政局内控制度建设不健全，未能形成内控制度汇编，资产管理流于形式，未能定期进行资产的盘点清查。</w:t>
      </w:r>
    </w:p>
    <w:p>
      <w:pPr>
        <w:keepNext w:val="0"/>
        <w:keepLines w:val="0"/>
        <w:pageBreakBefore w:val="0"/>
        <w:widowControl w:val="0"/>
        <w:kinsoku/>
        <w:wordWrap/>
        <w:overflowPunct/>
        <w:topLinePunct w:val="0"/>
        <w:autoSpaceDE/>
        <w:autoSpaceDN/>
        <w:bidi w:val="0"/>
        <w:adjustRightInd/>
        <w:spacing w:line="620" w:lineRule="exact"/>
        <w:ind w:firstLine="640" w:firstLineChars="200"/>
        <w:textAlignment w:val="auto"/>
        <w:rPr>
          <w:rFonts w:hint="eastAsia" w:ascii="方正仿宋简体" w:hAnsi="方正仿宋简体" w:eastAsia="方正仿宋简体" w:cs="方正仿宋简体"/>
          <w:color w:val="auto"/>
          <w:sz w:val="32"/>
          <w:szCs w:val="32"/>
          <w:highlight w:val="yellow"/>
        </w:rPr>
      </w:pPr>
      <w:r>
        <w:rPr>
          <w:rFonts w:hint="eastAsia" w:ascii="方正仿宋简体" w:hAnsi="方正仿宋简体" w:eastAsia="方正仿宋简体" w:cs="方正仿宋简体"/>
          <w:sz w:val="32"/>
          <w:szCs w:val="32"/>
          <w:highlight w:val="none"/>
          <w:lang w:val="en-US" w:eastAsia="zh-CN"/>
        </w:rPr>
        <w:t>上述做法违反了《中华人民共和国政府采购法》《中华人民共和国国有资产法》这些法律法规明确规定了政府部门对于固定资产的管理和处置，要求政府部门合理使用、保护、增值和处置固定资产，防止固定资产闲置浪费。同时，政府固定资产闲置还会影响国家资源的有效利用和经济发展。因此，各级政府部门应当加强对固定资产的管理和监督，及时清理和处置闲置资产，提高资产利用效率，促进国家经济的可持续发展。《行政事业单位内部控制规范（试行）》第四十四条单位应当加强对实物资产和无形资产的管理，明确相关部门和岗位的职责权限，强化对配置、使用和处置等关键环节的管控。（一）对资产实施归口管理。明确资产使用和保管责任人，落实资产使用人在资产管理中的责任。贵重资产、危险资产、有保密等特殊要求的资产，应当指定专人保管、专人使用，并规定严格的接触限制条件和审批程序。（二）按照国有资产管理相关规定，明确资产的调剂、租借、对 外投资、处置的程序、审批权限和责任。（三）建立资产台账，加强资产的实物管理。单位应当定期清查 盘点资产，确保账实相符。财会、资产管理、资产使用等部门或岗位应当定期对账，发现不符的，应当及时查明原因，并按照相关规定处理。（四）建立资产信息管理系统，做好资产的统计、报告、分析工 作，实现对资产的动态管理。</w:t>
      </w:r>
    </w:p>
    <w:p>
      <w:pPr>
        <w:pStyle w:val="3"/>
        <w:ind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依据：《行政事业单位内部控制规范（试行）》第三十二条：“单位应当建立健全政府采购预算与计划管理、政府 采购活动管理、验收管理等政府采购内部管理制度。”的规定。第四十条单位应当对资产实行分类管理，建立健全资产内部管理制度。单位应当合理设置岗位，明确相关岗位的职责权限，确保资产安 全和有效使用。</w:t>
      </w:r>
    </w:p>
    <w:p>
      <w:pPr>
        <w:ind w:firstLine="643"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处理（处罚）意见</w:t>
      </w:r>
      <w:r>
        <w:rPr>
          <w:rFonts w:hint="eastAsia" w:ascii="方正仿宋简体" w:hAnsi="方正仿宋简体" w:eastAsia="方正仿宋简体" w:cs="方正仿宋简体"/>
          <w:sz w:val="32"/>
          <w:szCs w:val="32"/>
          <w:highlight w:val="none"/>
          <w:lang w:val="en-US" w:eastAsia="zh-CN"/>
        </w:rPr>
        <w:t>：责令疏勒县民政局加强对政府采购活动的管理。对政府采购 活动实施归口管理，在政府采购活动中建立政府采购、资产管理、财 会、内部审计、纪检监察等部门或岗位相互协调、相互制约的机制。</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疏勒县民政局支出管理中对单位报销的各类垫付费用未能填制统一的报销单，未能健全报销管理制度。</w:t>
      </w:r>
    </w:p>
    <w:p>
      <w:pPr>
        <w:numPr>
          <w:ilvl w:val="0"/>
          <w:numId w:val="0"/>
        </w:numPr>
        <w:ind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上述做法违反了《行政事业单位内部控制规范（试行）》第二十九条：“单位应当建立健全支出内部管理制度，确定单位经 济活动的各项支出标准，明确支出报销流程，按照规定办理支出事项。 单位应当合理设置岗位，明确相关岗位的职责权限，确保支出申请和内部审批、付款审批和付款执行、业务经办和会计核算等不相容岗位相互分离。”</w:t>
      </w:r>
    </w:p>
    <w:p>
      <w:pPr>
        <w:numPr>
          <w:ilvl w:val="0"/>
          <w:numId w:val="0"/>
        </w:numPr>
        <w:ind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依据：《行政事业单位内部控制规范（试行）》第三十条：“单位应当按照支出业务的类型，明确内部审批、审核、 支付、核算和归档等支出各关键岗位的职责权限。实行国库集中支付 的，应当严格按照财政国库管理制度有关规定执行。（一）加强支出审批控制。明确支出的内部审批权限、程序、责任和相关控制措施。审批人应当在授权范围内审批，不得越权审批。（二）加强支出审核控制。全面审核各类单据。重点审核单据来 源是否合法，内容是否真实、完整，使用是否准确，是否符合预算，审批手续是否齐全。支出凭证应当附反映支出明细内容的原始单据，并由经办人员签 字或盖章，超出规定标准的支出事项应由经办人员说明原因并附审批 依据，确保与经济业务事项相符。（三）加强支付控制。明确报销业务流程，按照规定办理资金支付手续。签发的支付凭证应当进行登记。使用公务卡结算的，应当按照公务卡使用和管理有关规定办理业务。（四）加强支出的核算和归档控制。由财会部门根据支出凭证及时准确登记账簿；与支出业务相关的合同等材料应当提交财会部门作 为账务处理的依据。”</w:t>
      </w:r>
    </w:p>
    <w:p>
      <w:pPr>
        <w:numPr>
          <w:ilvl w:val="0"/>
          <w:numId w:val="0"/>
        </w:numPr>
        <w:ind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处理（处罚）意见：责令疏勒县民政局建立健全支出内部管理制度，确保单位经 济活动的各项支出标准化。</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420" w:firstLineChars="0"/>
        <w:textAlignment w:val="auto"/>
        <w:rPr>
          <w:rFonts w:hint="eastAsia" w:ascii="方正仿宋简体" w:hAnsi="方正仿宋简体" w:eastAsia="方正仿宋简体" w:cs="方正仿宋简体"/>
          <w:b/>
          <w:bCs/>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合同管理不规范，岗位职责未能有效执行。</w:t>
      </w:r>
    </w:p>
    <w:p>
      <w:pPr>
        <w:ind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2022年5月36#凭证中，支付中心敬老院药品款96,659.00元，合同管理不规范，合同约定合同一式两份，甲乙双方各执一份，凭证中存在两份合同，且甲方均未能盖章。</w:t>
      </w:r>
    </w:p>
    <w:p>
      <w:pPr>
        <w:ind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上述做法违反了《行政事业单位内部控制规范（试行）》第五十四条：“单位应当建立健全合同内部管理制度。单位应当合理设置岗位，明确合同的授权审批和签署权限，妥善 保管和使用合同专用章，严禁未经授权擅自以单位名义对外签订合同，严禁违规签订担保、投资和借贷合同。”的规定。</w:t>
      </w:r>
    </w:p>
    <w:p>
      <w:pPr>
        <w:ind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依据：《行政事业单位内部控制规范（试行）》第五十八条：“合同归口管理部门应当加强对合同登记的管理，定 期对合同进行统计、分类和归档，详细登记合同的订立、履行和变更情况，实行对合同的全过程管理。与单位经济活动相关的合同应当同 时提交财会部门作为账务处理的依据。”的规定。</w:t>
      </w:r>
    </w:p>
    <w:p>
      <w:pPr>
        <w:ind w:firstLine="643"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b/>
          <w:bCs/>
          <w:sz w:val="32"/>
          <w:szCs w:val="32"/>
          <w:highlight w:val="none"/>
          <w:lang w:val="en-US" w:eastAsia="zh-CN"/>
        </w:rPr>
        <w:t>处理（处罚）意见</w:t>
      </w:r>
      <w:r>
        <w:rPr>
          <w:rFonts w:hint="eastAsia" w:ascii="方正仿宋简体" w:hAnsi="方正仿宋简体" w:eastAsia="方正仿宋简体" w:cs="方正仿宋简体"/>
          <w:sz w:val="32"/>
          <w:szCs w:val="32"/>
          <w:highlight w:val="none"/>
          <w:lang w:val="en-US" w:eastAsia="zh-CN"/>
        </w:rPr>
        <w:t>：责令疏勒县民政局对合同实施归口管理，建立财会部门与合同归口管理部门的沟通协调机制，实现合同管理与预算管理、收支管理相结合。</w:t>
      </w:r>
    </w:p>
    <w:p>
      <w:pPr>
        <w:ind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经后期整改，该问题已经不存在。</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hint="eastAsia" w:ascii="方正仿宋简体" w:hAnsi="方正仿宋简体" w:eastAsia="方正仿宋简体" w:cs="方正仿宋简体"/>
          <w:b/>
          <w:sz w:val="32"/>
          <w:szCs w:val="32"/>
          <w:highlight w:val="none"/>
        </w:rPr>
      </w:pPr>
      <w:r>
        <w:rPr>
          <w:rFonts w:hint="eastAsia" w:ascii="方正仿宋简体" w:hAnsi="方正仿宋简体" w:eastAsia="方正仿宋简体" w:cs="方正仿宋简体"/>
          <w:b/>
          <w:sz w:val="32"/>
          <w:szCs w:val="32"/>
          <w:highlight w:val="none"/>
          <w:lang w:eastAsia="zh-CN"/>
        </w:rPr>
        <w:t>五</w:t>
      </w:r>
      <w:r>
        <w:rPr>
          <w:rFonts w:hint="eastAsia" w:ascii="方正仿宋简体" w:hAnsi="方正仿宋简体" w:eastAsia="方正仿宋简体" w:cs="方正仿宋简体"/>
          <w:b/>
          <w:sz w:val="32"/>
          <w:szCs w:val="32"/>
          <w:highlight w:val="none"/>
        </w:rPr>
        <w:t>、</w:t>
      </w:r>
      <w:r>
        <w:rPr>
          <w:rFonts w:hint="eastAsia" w:ascii="方正仿宋简体" w:hAnsi="方正仿宋简体" w:eastAsia="方正仿宋简体" w:cs="方正仿宋简体"/>
          <w:b/>
          <w:sz w:val="32"/>
          <w:szCs w:val="32"/>
          <w:highlight w:val="none"/>
          <w:lang w:eastAsia="zh-CN"/>
        </w:rPr>
        <w:t>财政监督检查</w:t>
      </w:r>
      <w:r>
        <w:rPr>
          <w:rFonts w:hint="eastAsia" w:ascii="方正仿宋简体" w:hAnsi="方正仿宋简体" w:eastAsia="方正仿宋简体" w:cs="方正仿宋简体"/>
          <w:b/>
          <w:sz w:val="32"/>
          <w:szCs w:val="32"/>
          <w:highlight w:val="none"/>
        </w:rPr>
        <w:t>建议</w:t>
      </w:r>
    </w:p>
    <w:p>
      <w:pPr>
        <w:numPr>
          <w:ilvl w:val="0"/>
          <w:numId w:val="0"/>
        </w:numPr>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eastAsia="zh-CN"/>
        </w:rPr>
        <w:t>分析产生上述问题的原因：一是</w:t>
      </w:r>
      <w:r>
        <w:rPr>
          <w:rFonts w:hint="eastAsia" w:ascii="方正仿宋简体" w:hAnsi="方正仿宋简体" w:eastAsia="方正仿宋简体" w:cs="方正仿宋简体"/>
          <w:sz w:val="32"/>
          <w:szCs w:val="32"/>
          <w:highlight w:val="none"/>
          <w:lang w:val="en-US" w:eastAsia="zh-CN"/>
        </w:rPr>
        <w:t>对会计基础工作规范缺失足够的认识</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lang w:val="en-US" w:eastAsia="zh-CN"/>
        </w:rPr>
        <w:t>财务制度不健全，单位负责人不重视会计基础工作，会计基础工作无法规范。</w:t>
      </w:r>
      <w:r>
        <w:rPr>
          <w:rFonts w:hint="eastAsia" w:ascii="方正仿宋简体" w:hAnsi="方正仿宋简体" w:eastAsia="方正仿宋简体" w:cs="方正仿宋简体"/>
          <w:sz w:val="32"/>
          <w:szCs w:val="32"/>
          <w:highlight w:val="none"/>
          <w:lang w:eastAsia="zh-CN"/>
        </w:rPr>
        <w:t>疏勒县民政局规范财务</w:t>
      </w:r>
      <w:r>
        <w:rPr>
          <w:rFonts w:hint="eastAsia" w:ascii="方正仿宋简体" w:hAnsi="方正仿宋简体" w:eastAsia="方正仿宋简体" w:cs="方正仿宋简体"/>
          <w:sz w:val="32"/>
          <w:szCs w:val="32"/>
          <w:highlight w:val="none"/>
          <w:lang w:val="en-US" w:eastAsia="zh-CN"/>
        </w:rPr>
        <w:t>未能按照财务制度严格执行</w:t>
      </w:r>
      <w:r>
        <w:rPr>
          <w:rFonts w:hint="eastAsia" w:ascii="方正仿宋简体" w:hAnsi="方正仿宋简体" w:eastAsia="方正仿宋简体" w:cs="方正仿宋简体"/>
          <w:sz w:val="32"/>
          <w:szCs w:val="32"/>
          <w:highlight w:val="none"/>
          <w:lang w:eastAsia="zh-CN"/>
        </w:rPr>
        <w:t>；二是</w:t>
      </w:r>
      <w:r>
        <w:rPr>
          <w:rFonts w:hint="eastAsia" w:ascii="方正仿宋简体" w:hAnsi="方正仿宋简体" w:eastAsia="方正仿宋简体" w:cs="方正仿宋简体"/>
          <w:sz w:val="32"/>
          <w:szCs w:val="32"/>
          <w:highlight w:val="none"/>
          <w:lang w:val="en-US" w:eastAsia="zh-CN"/>
        </w:rPr>
        <w:t>内部控制制度不完善，财务监督不到位会计基础工作不规范、会计核算工作程序不符合要求</w:t>
      </w:r>
    </w:p>
    <w:p>
      <w:pPr>
        <w:numPr>
          <w:ilvl w:val="0"/>
          <w:numId w:val="0"/>
        </w:numPr>
        <w:ind w:left="0" w:leftChars="0" w:firstLine="640" w:firstLineChars="200"/>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val="en-US" w:eastAsia="zh-CN"/>
        </w:rPr>
        <w:t>针对上诉问题提出一下意见：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highlight w:val="none"/>
          <w:lang w:eastAsia="zh-CN"/>
        </w:rPr>
        <w:t>一是疏勒县民政局加强对财务管理工作的重视，</w:t>
      </w:r>
      <w:r>
        <w:rPr>
          <w:rFonts w:hint="eastAsia" w:ascii="方正仿宋简体" w:hAnsi="方正仿宋简体" w:eastAsia="方正仿宋简体" w:cs="方正仿宋简体"/>
          <w:sz w:val="32"/>
          <w:szCs w:val="32"/>
          <w:highlight w:val="none"/>
          <w:lang w:val="en-US" w:eastAsia="zh-CN"/>
        </w:rPr>
        <w:t>制定合理的财务制度，严格按照财务制度执行，配备充足的工作人员，做到相互监督，相互制约。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sz w:val="32"/>
          <w:szCs w:val="32"/>
          <w:highlight w:val="none"/>
          <w:lang w:val="en-US" w:eastAsia="zh-CN"/>
        </w:rPr>
      </w:pPr>
      <w:r>
        <w:rPr>
          <w:rFonts w:hint="eastAsia" w:ascii="方正仿宋简体" w:hAnsi="方正仿宋简体" w:eastAsia="方正仿宋简体" w:cs="方正仿宋简体"/>
          <w:b w:val="0"/>
          <w:bCs/>
          <w:sz w:val="32"/>
          <w:szCs w:val="32"/>
          <w:highlight w:val="none"/>
          <w:lang w:val="en-US" w:eastAsia="zh-CN"/>
        </w:rPr>
        <w:t>二是加强相关财务人员的会计相关知识培训学习，迫使综合能力不断得到提高，以满足财务岗位业务需求。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sz w:val="32"/>
          <w:szCs w:val="32"/>
          <w:highlight w:val="none"/>
          <w:lang w:val="en-US" w:eastAsia="zh-CN"/>
        </w:rPr>
      </w:pPr>
      <w:r>
        <w:rPr>
          <w:rFonts w:hint="eastAsia" w:ascii="方正仿宋简体" w:hAnsi="方正仿宋简体" w:eastAsia="方正仿宋简体" w:cs="方正仿宋简体"/>
          <w:b w:val="0"/>
          <w:bCs/>
          <w:sz w:val="32"/>
          <w:szCs w:val="32"/>
          <w:highlight w:val="none"/>
          <w:lang w:val="en-US" w:eastAsia="zh-CN"/>
        </w:rPr>
        <w:t>三是要加强内部控制环境及制度的建设。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b w:val="0"/>
          <w:bCs/>
          <w:sz w:val="32"/>
          <w:szCs w:val="32"/>
          <w:highlight w:val="none"/>
          <w:lang w:val="en-US" w:eastAsia="zh-CN"/>
        </w:rPr>
      </w:pPr>
      <w:r>
        <w:rPr>
          <w:rFonts w:hint="eastAsia" w:ascii="方正仿宋简体" w:hAnsi="方正仿宋简体" w:eastAsia="方正仿宋简体" w:cs="方正仿宋简体"/>
          <w:b w:val="0"/>
          <w:bCs/>
          <w:sz w:val="32"/>
          <w:szCs w:val="32"/>
          <w:highlight w:val="none"/>
          <w:lang w:val="en-US" w:eastAsia="zh-CN"/>
        </w:rPr>
        <w:t>记帐人员与经济业务事项和会计事项的审批人员、经办人员、财物保管人员的职责权限应当明确，并相互分离、相互制约；重大对外投资、资产处置、资金调度和其他重要经济业务事项的决策和执行的相互监督、相互制约程序应当明确；财产清查的范围、期限和组织程序应当明确；对会计资料定期进行内部审计的办法和程序应当明确。任何一项业务不能由一个人单独操作，必须由两个人以上来办理，而且经办人员只能在各自的职权范围内作出处理。这样就形成一个互相交叉、互相制约、互相检查的内部监督过程。要依据《会计法》和《内部会计控制规范》，结合有关部门对加强检察机关财务管理的要求，建立适合本单位业务特点和管理需要的内部会计控制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方正仿宋简体" w:eastAsia="方正仿宋简体" w:cs="方正仿宋简体"/>
          <w:bCs/>
          <w:sz w:val="32"/>
          <w:szCs w:val="32"/>
          <w:highlight w:val="none"/>
          <w:lang w:val="en-US" w:eastAsia="zh-CN"/>
        </w:rPr>
      </w:pPr>
      <w:r>
        <w:rPr>
          <w:rFonts w:hint="eastAsia" w:ascii="方正仿宋简体" w:hAnsi="方正仿宋简体" w:eastAsia="方正仿宋简体" w:cs="方正仿宋简体"/>
          <w:bCs/>
          <w:sz w:val="32"/>
          <w:szCs w:val="32"/>
          <w:highlight w:val="none"/>
          <w:lang w:val="en-US" w:eastAsia="zh-CN"/>
        </w:rPr>
        <w:t>请你局于11月24日前将整改完成情况及印证资料报送至我局。</w:t>
      </w:r>
    </w:p>
    <w:p>
      <w:pPr>
        <w:keepNext w:val="0"/>
        <w:keepLines w:val="0"/>
        <w:pageBreakBefore w:val="0"/>
        <w:widowControl w:val="0"/>
        <w:kinsoku/>
        <w:wordWrap/>
        <w:overflowPunct/>
        <w:topLinePunct w:val="0"/>
        <w:autoSpaceDE/>
        <w:autoSpaceDN/>
        <w:bidi w:val="0"/>
        <w:adjustRightInd/>
        <w:snapToGrid/>
        <w:spacing w:line="560" w:lineRule="exact"/>
        <w:ind w:firstLine="7680" w:firstLineChars="2400"/>
        <w:textAlignment w:val="auto"/>
        <w:rPr>
          <w:rFonts w:hint="eastAsia" w:ascii="方正仿宋简体" w:hAnsi="方正仿宋简体" w:eastAsia="方正仿宋简体" w:cs="方正仿宋简体"/>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7680" w:firstLineChars="2400"/>
        <w:textAlignment w:val="auto"/>
        <w:rPr>
          <w:rFonts w:hint="eastAsia" w:ascii="方正仿宋简体" w:hAnsi="方正仿宋简体" w:eastAsia="方正仿宋简体" w:cs="方正仿宋简体"/>
          <w:bCs/>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080" w:firstLineChars="1900"/>
        <w:textAlignment w:val="auto"/>
        <w:rPr>
          <w:rFonts w:hint="eastAsia" w:ascii="方正仿宋简体" w:hAnsi="方正仿宋简体" w:eastAsia="方正仿宋简体" w:cs="方正仿宋简体"/>
          <w:bCs/>
          <w:sz w:val="32"/>
          <w:szCs w:val="32"/>
          <w:highlight w:val="none"/>
          <w:lang w:val="en-US" w:eastAsia="zh-CN"/>
        </w:rPr>
      </w:pPr>
      <w:r>
        <w:rPr>
          <w:rFonts w:hint="eastAsia" w:ascii="方正仿宋简体" w:hAnsi="方正仿宋简体" w:eastAsia="方正仿宋简体" w:cs="方正仿宋简体"/>
          <w:bCs/>
          <w:sz w:val="32"/>
          <w:szCs w:val="32"/>
          <w:highlight w:val="none"/>
          <w:lang w:val="en-US" w:eastAsia="zh-CN"/>
        </w:rPr>
        <w:t>疏勒县财政局</w:t>
      </w:r>
    </w:p>
    <w:p>
      <w:pPr>
        <w:spacing w:line="600" w:lineRule="exact"/>
        <w:ind w:firstLine="6080" w:firstLineChars="1900"/>
        <w:rPr>
          <w:rFonts w:hint="eastAsia" w:ascii="方正仿宋简体" w:hAnsi="方正仿宋简体" w:eastAsia="方正仿宋简体" w:cs="方正仿宋简体"/>
          <w:sz w:val="32"/>
          <w:szCs w:val="32"/>
          <w:highlight w:val="none"/>
        </w:rPr>
      </w:pPr>
      <w:r>
        <w:rPr>
          <w:rFonts w:hint="eastAsia" w:ascii="方正仿宋简体" w:hAnsi="方正仿宋简体" w:eastAsia="方正仿宋简体" w:cs="方正仿宋简体"/>
          <w:sz w:val="32"/>
          <w:szCs w:val="32"/>
          <w:highlight w:val="none"/>
          <w:lang w:val="en-US" w:eastAsia="zh-CN"/>
        </w:rPr>
        <w:t>2023</w:t>
      </w:r>
      <w:r>
        <w:rPr>
          <w:rFonts w:hint="eastAsia" w:ascii="方正仿宋简体" w:hAnsi="方正仿宋简体" w:eastAsia="方正仿宋简体" w:cs="方正仿宋简体"/>
          <w:sz w:val="32"/>
          <w:szCs w:val="32"/>
          <w:highlight w:val="none"/>
        </w:rPr>
        <w:t>年</w:t>
      </w:r>
      <w:r>
        <w:rPr>
          <w:rFonts w:hint="eastAsia" w:ascii="方正仿宋简体" w:hAnsi="方正仿宋简体" w:eastAsia="方正仿宋简体" w:cs="方正仿宋简体"/>
          <w:sz w:val="32"/>
          <w:szCs w:val="32"/>
          <w:highlight w:val="none"/>
          <w:lang w:val="en-US" w:eastAsia="zh-CN"/>
        </w:rPr>
        <w:t>11</w:t>
      </w:r>
      <w:r>
        <w:rPr>
          <w:rFonts w:hint="eastAsia" w:ascii="方正仿宋简体" w:hAnsi="方正仿宋简体" w:eastAsia="方正仿宋简体" w:cs="方正仿宋简体"/>
          <w:sz w:val="32"/>
          <w:szCs w:val="32"/>
          <w:highlight w:val="none"/>
        </w:rPr>
        <w:t>月</w:t>
      </w:r>
      <w:r>
        <w:rPr>
          <w:rFonts w:hint="eastAsia" w:ascii="方正仿宋简体" w:hAnsi="方正仿宋简体" w:eastAsia="方正仿宋简体" w:cs="方正仿宋简体"/>
          <w:sz w:val="32"/>
          <w:szCs w:val="32"/>
          <w:highlight w:val="none"/>
          <w:lang w:val="en-US" w:eastAsia="zh-CN"/>
        </w:rPr>
        <w:t>9</w:t>
      </w:r>
      <w:r>
        <w:rPr>
          <w:rFonts w:hint="eastAsia" w:ascii="方正仿宋简体" w:hAnsi="方正仿宋简体" w:eastAsia="方正仿宋简体" w:cs="方正仿宋简体"/>
          <w:sz w:val="32"/>
          <w:szCs w:val="32"/>
          <w:highlight w:val="none"/>
        </w:rPr>
        <w:t>日</w:t>
      </w:r>
    </w:p>
    <w:p>
      <w:pPr>
        <w:rPr>
          <w:rFonts w:hint="eastAsia" w:ascii="方正仿宋简体" w:hAnsi="方正仿宋简体" w:eastAsia="方正仿宋简体" w:cs="方正仿宋简体"/>
          <w:sz w:val="32"/>
          <w:szCs w:val="32"/>
          <w:highlight w:val="none"/>
        </w:rPr>
      </w:pPr>
    </w:p>
    <w:p>
      <w:pPr>
        <w:rPr>
          <w:rFonts w:hint="eastAsia" w:ascii="方正仿宋简体" w:hAnsi="方正仿宋简体" w:eastAsia="方正仿宋简体" w:cs="方正仿宋简体"/>
          <w:sz w:val="32"/>
          <w:szCs w:val="32"/>
        </w:rPr>
      </w:pPr>
    </w:p>
    <w:sectPr>
      <w:footerReference r:id="rId3" w:type="default"/>
      <w:footerReference r:id="rId4" w:type="even"/>
      <w:pgSz w:w="11906" w:h="16838"/>
      <w:pgMar w:top="1418" w:right="1418" w:bottom="1134" w:left="1701" w:header="907" w:footer="907" w:gutter="0"/>
      <w:pgBorders>
        <w:top w:val="none" w:sz="0" w:space="0"/>
        <w:left w:val="none" w:sz="0" w:space="0"/>
        <w:bottom w:val="none" w:sz="0" w:space="0"/>
        <w:right w:val="none" w:sz="0" w:space="0"/>
      </w:pgBorders>
      <w:pgNumType w:fmt="decimal" w:start="1"/>
      <w:cols w:space="720" w:num="1"/>
      <w:docGrid w:type="lines" w:linePitch="6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兰米粗楷简体">
    <w:altName w:val="宋体"/>
    <w:panose1 w:val="02000503000000000000"/>
    <w:charset w:val="86"/>
    <w:family w:val="auto"/>
    <w:pitch w:val="default"/>
    <w:sig w:usb0="00000000" w:usb1="00000000" w:usb2="00000012" w:usb3="00000000" w:csb0="00040001" w:csb1="00000000"/>
  </w:font>
  <w:font w:name="方正黑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hint="default" w:ascii="隶书" w:eastAsia="隶书"/>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１</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１</w:t>
    </w:r>
    <w: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403B8"/>
    <w:multiLevelType w:val="singleLevel"/>
    <w:tmpl w:val="87E403B8"/>
    <w:lvl w:ilvl="0" w:tentative="0">
      <w:start w:val="1"/>
      <w:numFmt w:val="decimal"/>
      <w:pStyle w:val="4"/>
      <w:lvlText w:val="%1."/>
      <w:lvlJc w:val="left"/>
      <w:pPr>
        <w:tabs>
          <w:tab w:val="left" w:pos="2040"/>
        </w:tabs>
        <w:ind w:left="2040" w:hanging="360"/>
      </w:pPr>
    </w:lvl>
  </w:abstractNum>
  <w:abstractNum w:abstractNumId="1">
    <w:nsid w:val="0EE909FC"/>
    <w:multiLevelType w:val="singleLevel"/>
    <w:tmpl w:val="0EE909FC"/>
    <w:lvl w:ilvl="0" w:tentative="0">
      <w:start w:val="1"/>
      <w:numFmt w:val="chineseCounting"/>
      <w:suff w:val="nothing"/>
      <w:lvlText w:val="（%1）"/>
      <w:lvlJc w:val="left"/>
      <w:pPr>
        <w:ind w:left="0" w:firstLine="420"/>
      </w:pPr>
      <w:rPr>
        <w:rFonts w:hint="eastAsia"/>
      </w:rPr>
    </w:lvl>
  </w:abstractNum>
  <w:abstractNum w:abstractNumId="2">
    <w:nsid w:val="2E97E645"/>
    <w:multiLevelType w:val="singleLevel"/>
    <w:tmpl w:val="2E97E645"/>
    <w:lvl w:ilvl="0" w:tentative="0">
      <w:start w:val="1"/>
      <w:numFmt w:val="decimal"/>
      <w:lvlText w:val="%1."/>
      <w:lvlJc w:val="left"/>
      <w:pPr>
        <w:ind w:left="425" w:hanging="425"/>
      </w:pPr>
      <w:rPr>
        <w:rFonts w:hint="default"/>
      </w:rPr>
    </w:lvl>
  </w:abstractNum>
  <w:abstractNum w:abstractNumId="3">
    <w:nsid w:val="647AD9E7"/>
    <w:multiLevelType w:val="singleLevel"/>
    <w:tmpl w:val="647AD9E7"/>
    <w:lvl w:ilvl="0" w:tentative="0">
      <w:start w:val="1"/>
      <w:numFmt w:val="decimal"/>
      <w:lvlText w:val="%1."/>
      <w:lvlJc w:val="left"/>
      <w:pPr>
        <w:ind w:left="425" w:hanging="425"/>
      </w:pPr>
      <w:rPr>
        <w:rFonts w:hint="default"/>
      </w:rPr>
    </w:lvl>
  </w:abstractNum>
  <w:abstractNum w:abstractNumId="4">
    <w:nsid w:val="6536630B"/>
    <w:multiLevelType w:val="singleLevel"/>
    <w:tmpl w:val="6536630B"/>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jZjg1MWM5ZWNkZWYyZjVjMmM2MTQwNTVlNzU0ZjAifQ=="/>
  </w:docVars>
  <w:rsids>
    <w:rsidRoot w:val="141E6D7E"/>
    <w:rsid w:val="0AA94059"/>
    <w:rsid w:val="141E6D7E"/>
    <w:rsid w:val="14DE58BA"/>
    <w:rsid w:val="17E106F8"/>
    <w:rsid w:val="198A52BB"/>
    <w:rsid w:val="287607EB"/>
    <w:rsid w:val="2CDA38A5"/>
    <w:rsid w:val="39D52E80"/>
    <w:rsid w:val="411029F0"/>
    <w:rsid w:val="514C542F"/>
    <w:rsid w:val="69A476D9"/>
    <w:rsid w:val="713A4128"/>
    <w:rsid w:val="7C790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600" w:firstLineChars="200"/>
    </w:pPr>
    <w:rPr>
      <w:rFonts w:ascii="仿宋_GB2312" w:hAnsi="Calibri" w:eastAsia="仿宋_GB2312" w:cs="宋体"/>
      <w:kern w:val="0"/>
      <w:sz w:val="30"/>
      <w:szCs w:val="24"/>
    </w:rPr>
  </w:style>
  <w:style w:type="paragraph" w:styleId="3">
    <w:name w:val="Plain Text"/>
    <w:basedOn w:val="1"/>
    <w:next w:val="4"/>
    <w:qFormat/>
    <w:uiPriority w:val="0"/>
    <w:rPr>
      <w:rFonts w:ascii="宋体" w:hAnsi="Courier New"/>
    </w:rPr>
  </w:style>
  <w:style w:type="paragraph" w:styleId="4">
    <w:name w:val="List Number 5"/>
    <w:basedOn w:val="1"/>
    <w:qFormat/>
    <w:uiPriority w:val="0"/>
    <w:pPr>
      <w:numPr>
        <w:ilvl w:val="0"/>
        <w:numId w:val="1"/>
      </w:numPr>
    </w:pPr>
  </w:style>
  <w:style w:type="paragraph" w:styleId="5">
    <w:name w:val="Body Text Indent 2"/>
    <w:basedOn w:val="1"/>
    <w:qFormat/>
    <w:uiPriority w:val="0"/>
    <w:pPr>
      <w:spacing w:before="50" w:beforeLines="0" w:after="50" w:afterLines="0"/>
      <w:ind w:firstLine="560"/>
    </w:pPr>
    <w:rPr>
      <w:rFonts w:eastAsia="仿宋_GB2312"/>
      <w:sz w:val="28"/>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8">
    <w:name w:val="Body Text First Indent 2"/>
    <w:basedOn w:val="2"/>
    <w:next w:val="3"/>
    <w:qFormat/>
    <w:uiPriority w:val="0"/>
    <w:pPr>
      <w:ind w:firstLine="200" w:firstLineChars="200"/>
    </w:pPr>
    <w:rPr>
      <w:rFonts w:ascii="Times New Roman" w:hAnsi="Times New Roman" w:eastAsia="宋体" w:cs="Times New Roman"/>
      <w:szCs w:val="2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page number"/>
    <w:basedOn w:val="11"/>
    <w:qFormat/>
    <w:uiPriority w:val="0"/>
  </w:style>
  <w:style w:type="character" w:customStyle="1" w:styleId="13">
    <w:name w:val="font11"/>
    <w:basedOn w:val="11"/>
    <w:qFormat/>
    <w:uiPriority w:val="0"/>
    <w:rPr>
      <w:rFonts w:hint="eastAsia" w:ascii="方正仿宋简体" w:hAnsi="方正仿宋简体" w:eastAsia="方正仿宋简体" w:cs="方正仿宋简体"/>
      <w:b/>
      <w:bCs/>
      <w:color w:val="000000"/>
      <w:sz w:val="18"/>
      <w:szCs w:val="18"/>
      <w:u w:val="none"/>
    </w:rPr>
  </w:style>
  <w:style w:type="character" w:customStyle="1" w:styleId="14">
    <w:name w:val="font21"/>
    <w:basedOn w:val="11"/>
    <w:qFormat/>
    <w:uiPriority w:val="0"/>
    <w:rPr>
      <w:rFonts w:hint="eastAsia" w:ascii="宋体" w:hAnsi="宋体" w:eastAsia="宋体" w:cs="宋体"/>
      <w:color w:val="000000"/>
      <w:sz w:val="21"/>
      <w:szCs w:val="21"/>
      <w:u w:val="none"/>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font41"/>
    <w:basedOn w:val="1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2023-10-27T04:21:00Z</dcterms:created>
  <dc:creator>原</dc:creator>
  <cp:lastModifiedBy>Administrator</cp:lastModifiedBy>
  <cp:lastPrinted>2023-11-08T17:41:02Z</cp:lastPrinted>
  <dcterms:modified xsi:type="dcterms:W3CDTF">2023-11-08T17:42:06Z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25B9EB156631493CA3E9FBE284F37245_11</vt:lpwstr>
  </property>
</Properties>
</file>