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pPr>
        <w:pStyle w:val="6"/>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pPr>
        <w:pStyle w:val="6"/>
        <w:tabs>
          <w:tab w:val="left" w:pos="5700"/>
        </w:tabs>
        <w:spacing w:line="560" w:lineRule="exact"/>
        <w:ind w:left="0" w:leftChars="0" w:firstLine="1767" w:firstLineChars="400"/>
        <w:jc w:val="both"/>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kern w:val="2"/>
          <w:sz w:val="44"/>
          <w:szCs w:val="44"/>
          <w:highlight w:val="none"/>
          <w:lang w:val="en-US" w:eastAsia="zh-CN" w:bidi="ar-SA"/>
        </w:rPr>
        <w:t>2023年度会计监督检查报告</w:t>
      </w:r>
    </w:p>
    <w:p>
      <w:pPr>
        <w:pStyle w:val="6"/>
        <w:tabs>
          <w:tab w:val="left" w:pos="5700"/>
        </w:tabs>
        <w:spacing w:line="560" w:lineRule="exact"/>
        <w:ind w:firstLine="0"/>
        <w:jc w:val="both"/>
        <w:rPr>
          <w:rFonts w:hint="eastAsia" w:ascii="方正黑体简体" w:hAnsi="方正黑体简体" w:eastAsia="方正黑体简体" w:cs="方正黑体简体"/>
          <w:b/>
          <w:sz w:val="44"/>
          <w:szCs w:val="44"/>
          <w:highlight w:val="none"/>
        </w:rPr>
      </w:pPr>
      <w:r>
        <w:rPr>
          <w:rFonts w:hint="eastAsia" w:ascii="方正黑体简体" w:hAnsi="方正黑体简体" w:eastAsia="方正黑体简体" w:cs="方正黑体简体"/>
          <w:b/>
          <w:bCs/>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疏勒县市场监督管理局</w:t>
      </w:r>
      <w:r>
        <w:rPr>
          <w:rFonts w:hint="eastAsia" w:ascii="方正仿宋简体" w:hAnsi="方正仿宋简体" w:eastAsia="方正仿宋简体" w:cs="方正仿宋简体"/>
          <w:b/>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947" w:firstLineChars="296"/>
        <w:textAlignment w:val="auto"/>
        <w:rPr>
          <w:rFonts w:hint="eastAsia" w:ascii="方正仿宋简体" w:hAnsi="方正仿宋简体" w:eastAsia="方正仿宋简体" w:cs="方正仿宋简体"/>
          <w:b/>
          <w:sz w:val="32"/>
          <w:szCs w:val="32"/>
          <w:highlight w:val="none"/>
          <w:lang w:val="en-US"/>
        </w:rPr>
      </w:pPr>
      <w:r>
        <w:rPr>
          <w:rFonts w:hint="eastAsia" w:ascii="方正仿宋简体" w:hAnsi="方正仿宋简体" w:eastAsia="方正仿宋简体" w:cs="方正仿宋简体"/>
          <w:kern w:val="2"/>
          <w:sz w:val="32"/>
          <w:szCs w:val="32"/>
          <w:highlight w:val="none"/>
          <w:lang w:val="en-US" w:eastAsia="zh-CN" w:bidi="ar-SA"/>
        </w:rPr>
        <w:t>疏勒县财政局（以下简称我局）根据《中华人民共和国会计法》、《政府会计准则》等相关规定，我局下发财政检查通知书，派出检查组并委托喀什凯瑞会计师事务所（普通合伙），自2023年9月11日至2023年9月16日，对疏勒县市场监督管理局2022年会计信息质量进行检查。此次检查工作运用了查询、审阅、延伸等方法，检查了2022年疏勒县市场监督管理局财务会计资料及其他相关资料，被检查单位对其提供的财务会计资料的真实性、完整性负责，并承担法律依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482" w:leftChars="0" w:firstLine="321" w:firstLineChars="1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eastAsia="zh-CN"/>
        </w:rPr>
        <w:t>一、被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疏勒县市场监督管理局：统一社会信用代码证书</w:t>
      </w:r>
      <w:r>
        <w:rPr>
          <w:rFonts w:hint="eastAsia" w:ascii="方正仿宋简体" w:hAnsi="方正仿宋简体" w:eastAsia="方正仿宋简体" w:cs="方正仿宋简体"/>
          <w:sz w:val="32"/>
          <w:szCs w:val="32"/>
          <w:highlight w:val="none"/>
          <w:lang w:val="en-US" w:eastAsia="zh-CN"/>
        </w:rPr>
        <w:t>号 11653122010382591X;机构性质：机关；机构地址：新疆维吾尔自治区喀什地区疏勒县疏勒镇库什喀纳路3院；负责人：阿不力米提·塔力普。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482" w:leftChars="0" w:firstLine="321" w:firstLineChars="100"/>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二、被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单位20</w:t>
      </w:r>
      <w:r>
        <w:rPr>
          <w:rFonts w:hint="eastAsia" w:ascii="方正仿宋简体" w:hAnsi="方正仿宋简体" w:eastAsia="方正仿宋简体" w:cs="方正仿宋简体"/>
          <w:b/>
          <w:bCs/>
          <w:sz w:val="32"/>
          <w:szCs w:val="32"/>
          <w:highlight w:val="none"/>
          <w:lang w:val="en-US" w:eastAsia="zh-CN"/>
        </w:rPr>
        <w:t>22</w:t>
      </w:r>
      <w:r>
        <w:rPr>
          <w:rFonts w:hint="eastAsia" w:ascii="方正仿宋简体" w:hAnsi="方正仿宋简体" w:eastAsia="方正仿宋简体" w:cs="方正仿宋简体"/>
          <w:b/>
          <w:bCs/>
          <w:sz w:val="32"/>
          <w:szCs w:val="32"/>
          <w:highlight w:val="none"/>
          <w:lang w:eastAsia="zh-CN"/>
        </w:rPr>
        <w:t>年度财务收支情况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截止20</w:t>
      </w:r>
      <w:r>
        <w:rPr>
          <w:rFonts w:hint="eastAsia" w:ascii="方正仿宋简体" w:hAnsi="方正仿宋简体" w:eastAsia="方正仿宋简体" w:cs="方正仿宋简体"/>
          <w:sz w:val="32"/>
          <w:szCs w:val="32"/>
          <w:highlight w:val="none"/>
          <w:lang w:val="en-US" w:eastAsia="zh-CN"/>
        </w:rPr>
        <w:t>22</w:t>
      </w:r>
      <w:r>
        <w:rPr>
          <w:rFonts w:hint="eastAsia" w:ascii="方正仿宋简体" w:hAnsi="方正仿宋简体" w:eastAsia="方正仿宋简体" w:cs="方正仿宋简体"/>
          <w:sz w:val="32"/>
          <w:szCs w:val="32"/>
          <w:highlight w:val="none"/>
        </w:rPr>
        <w:t>年12月31日，</w:t>
      </w:r>
      <w:r>
        <w:rPr>
          <w:rFonts w:hint="eastAsia" w:ascii="方正仿宋简体" w:hAnsi="方正仿宋简体" w:eastAsia="方正仿宋简体" w:cs="方正仿宋简体"/>
          <w:sz w:val="32"/>
          <w:szCs w:val="32"/>
          <w:highlight w:val="none"/>
          <w:lang w:eastAsia="zh-CN"/>
        </w:rPr>
        <w:t>疏勒县市场监督管理局</w:t>
      </w:r>
      <w:r>
        <w:rPr>
          <w:rFonts w:hint="eastAsia" w:ascii="方正仿宋简体" w:hAnsi="方正仿宋简体" w:eastAsia="方正仿宋简体" w:cs="方正仿宋简体"/>
          <w:sz w:val="32"/>
          <w:szCs w:val="32"/>
          <w:highlight w:val="none"/>
        </w:rPr>
        <w:t>资产</w:t>
      </w:r>
      <w:r>
        <w:rPr>
          <w:rFonts w:hint="eastAsia" w:ascii="方正仿宋简体" w:hAnsi="方正仿宋简体" w:eastAsia="方正仿宋简体" w:cs="方正仿宋简体"/>
          <w:sz w:val="32"/>
          <w:szCs w:val="32"/>
          <w:highlight w:val="none"/>
          <w:lang w:val="en-US" w:eastAsia="zh-CN"/>
        </w:rPr>
        <w:t>4,136,007.97</w:t>
      </w:r>
      <w:r>
        <w:rPr>
          <w:rFonts w:hint="eastAsia" w:ascii="方正仿宋简体" w:hAnsi="方正仿宋简体" w:eastAsia="方正仿宋简体" w:cs="方正仿宋简体"/>
          <w:sz w:val="32"/>
          <w:szCs w:val="32"/>
          <w:highlight w:val="none"/>
        </w:rPr>
        <w:t>元，负债</w:t>
      </w:r>
      <w:r>
        <w:rPr>
          <w:rFonts w:hint="eastAsia" w:ascii="方正仿宋简体" w:hAnsi="方正仿宋简体" w:eastAsia="方正仿宋简体" w:cs="方正仿宋简体"/>
          <w:sz w:val="32"/>
          <w:szCs w:val="32"/>
          <w:highlight w:val="none"/>
          <w:lang w:val="en-US" w:eastAsia="zh-CN"/>
        </w:rPr>
        <w:t>775,074.11</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eastAsia="zh-CN"/>
        </w:rPr>
        <w:t>净资产</w:t>
      </w:r>
      <w:r>
        <w:rPr>
          <w:rFonts w:hint="eastAsia" w:ascii="方正仿宋简体" w:hAnsi="方正仿宋简体" w:eastAsia="方正仿宋简体" w:cs="方正仿宋简体"/>
          <w:sz w:val="32"/>
          <w:szCs w:val="32"/>
          <w:highlight w:val="none"/>
          <w:lang w:val="en-US" w:eastAsia="zh-CN"/>
        </w:rPr>
        <w:t>3,360,989.89</w:t>
      </w:r>
      <w:r>
        <w:rPr>
          <w:rFonts w:hint="eastAsia" w:ascii="方正仿宋简体" w:hAnsi="方正仿宋简体" w:eastAsia="方正仿宋简体" w:cs="方正仿宋简体"/>
          <w:sz w:val="32"/>
          <w:szCs w:val="32"/>
          <w:highlight w:val="none"/>
        </w:rPr>
        <w:t>元。</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sz w:val="32"/>
          <w:szCs w:val="32"/>
          <w:highlight w:val="none"/>
        </w:rPr>
        <w:t>（一）、银行存款：截止20</w:t>
      </w:r>
      <w:r>
        <w:rPr>
          <w:rFonts w:hint="eastAsia" w:ascii="方正仿宋简体" w:hAnsi="方正仿宋简体" w:eastAsia="方正仿宋简体" w:cs="方正仿宋简体"/>
          <w:sz w:val="32"/>
          <w:szCs w:val="32"/>
          <w:highlight w:val="none"/>
          <w:lang w:val="en-US" w:eastAsia="zh-CN"/>
        </w:rPr>
        <w:t>22</w:t>
      </w:r>
      <w:r>
        <w:rPr>
          <w:rFonts w:hint="eastAsia" w:ascii="方正仿宋简体" w:hAnsi="方正仿宋简体" w:eastAsia="方正仿宋简体" w:cs="方正仿宋简体"/>
          <w:sz w:val="32"/>
          <w:szCs w:val="32"/>
          <w:highlight w:val="none"/>
        </w:rPr>
        <w:t>年12月31日，银行存款为762,058.40元</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为：疏勒县农村信用合作联社</w:t>
      </w:r>
      <w:r>
        <w:rPr>
          <w:rFonts w:hint="eastAsia" w:ascii="方正仿宋简体" w:hAnsi="方正仿宋简体" w:eastAsia="方正仿宋简体" w:cs="方正仿宋简体"/>
          <w:sz w:val="32"/>
          <w:szCs w:val="32"/>
          <w:highlight w:val="none"/>
        </w:rPr>
        <w:t>（账号</w:t>
      </w:r>
      <w:r>
        <w:rPr>
          <w:rFonts w:hint="eastAsia" w:ascii="方正仿宋简体" w:hAnsi="方正仿宋简体" w:eastAsia="方正仿宋简体" w:cs="方正仿宋简体"/>
          <w:sz w:val="32"/>
          <w:szCs w:val="32"/>
          <w:highlight w:val="none"/>
          <w:lang w:val="en-US" w:eastAsia="zh-CN"/>
        </w:rPr>
        <w:t>：861010012010166161388</w:t>
      </w:r>
      <w:r>
        <w:rPr>
          <w:rFonts w:hint="eastAsia" w:ascii="方正仿宋简体" w:hAnsi="方正仿宋简体" w:eastAsia="方正仿宋简体" w:cs="方正仿宋简体"/>
          <w:sz w:val="32"/>
          <w:szCs w:val="32"/>
          <w:highlight w:val="none"/>
        </w:rPr>
        <w:t>）， 账面余额762,058.40元。</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（二）、科目余额表如下图：</w:t>
      </w:r>
    </w:p>
    <w:tbl>
      <w:tblPr>
        <w:tblStyle w:val="10"/>
        <w:tblW w:w="8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4"/>
        <w:gridCol w:w="659"/>
        <w:gridCol w:w="1393"/>
        <w:gridCol w:w="1393"/>
        <w:gridCol w:w="1393"/>
        <w:gridCol w:w="1393"/>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科目名称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借/贷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期初余额</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借方</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贷方</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借/贷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银行存款</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503,232.88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6,218,748.93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5,959,923.41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762,058.40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库存物品</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13,015.71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13,015.71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固定资产</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10,162,018.12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700,000.00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1,030,540.42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9,831,477.70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固定资产累计折旧</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6,980,664.29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-510,120.45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6,470,543.84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在建工程</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700,000.00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700,000.00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应付职工薪酬</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21,270.00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9,529,941.36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9,502,005.46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-6,665.90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应付账款</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24,300.00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24,300.00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其他应付款</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447,713.48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453,880.87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787,907.40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781,740.01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累计盈余</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3,881,353.83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1,030,540.42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2,850,813.41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专用基金</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17,603.47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17,603.47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本期盈余</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14,117,444.19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14,627,564.64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510,120.45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财政拨款收入</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13,929,314.64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13,929,314.64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非同级财政拨款收入</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698,250.00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698,250.00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利息收入</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5,361.64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5,574.21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212.57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业务活动费用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14,117,444.19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14,117,444.19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财政拨款预算收入</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13,929,314.64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13,929,314.64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行政支出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13,929,314.64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借</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13,929,314.64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资金结存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1,238,218.36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1,238,218.36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right"/>
              <w:rPr>
                <w:rFonts w:hint="eastAsia" w:ascii="方正仿宋简体" w:hAnsi="方正仿宋简体" w:eastAsia="方正仿宋简体" w:cs="方正仿宋简体"/>
                <w:i w:val="0"/>
                <w:iCs w:val="0"/>
                <w:color w:val="000000"/>
                <w:sz w:val="32"/>
                <w:szCs w:val="32"/>
                <w:highlight w:val="none"/>
                <w:u w:val="none"/>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482" w:leftChars="0"/>
        <w:textAlignment w:val="auto"/>
        <w:rPr>
          <w:rFonts w:hint="eastAsia" w:ascii="方正仿宋简体" w:hAnsi="方正仿宋简体" w:eastAsia="方正仿宋简体" w:cs="方正仿宋简体"/>
          <w:b/>
          <w:bCs/>
          <w:sz w:val="32"/>
          <w:szCs w:val="32"/>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eastAsia="zh-CN"/>
        </w:rPr>
        <w:t>三、</w:t>
      </w:r>
      <w:r>
        <w:rPr>
          <w:rFonts w:hint="eastAsia" w:ascii="方正仿宋简体" w:hAnsi="方正仿宋简体" w:eastAsia="方正仿宋简体" w:cs="方正仿宋简体"/>
          <w:b/>
          <w:bCs/>
          <w:sz w:val="32"/>
          <w:szCs w:val="32"/>
          <w:highlight w:val="none"/>
          <w:lang w:val="en-US" w:eastAsia="zh-CN"/>
        </w:rPr>
        <w:t>检查结果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firstLineChars="175"/>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b w:val="0"/>
          <w:bCs w:val="0"/>
          <w:sz w:val="32"/>
          <w:szCs w:val="32"/>
          <w:highlight w:val="none"/>
          <w:lang w:val="en-US" w:eastAsia="zh-CN"/>
        </w:rPr>
        <w:t>检查</w:t>
      </w:r>
      <w:r>
        <w:rPr>
          <w:rFonts w:hint="eastAsia" w:ascii="方正仿宋简体" w:hAnsi="方正仿宋简体" w:eastAsia="方正仿宋简体" w:cs="方正仿宋简体"/>
          <w:b w:val="0"/>
          <w:bCs w:val="0"/>
          <w:sz w:val="32"/>
          <w:szCs w:val="32"/>
          <w:highlight w:val="none"/>
          <w:lang w:eastAsia="zh-CN"/>
        </w:rPr>
        <w:t>结果表明，</w:t>
      </w:r>
      <w:r>
        <w:rPr>
          <w:rFonts w:hint="eastAsia" w:ascii="方正仿宋简体" w:hAnsi="方正仿宋简体" w:eastAsia="方正仿宋简体" w:cs="方正仿宋简体"/>
          <w:b w:val="0"/>
          <w:bCs w:val="0"/>
          <w:sz w:val="32"/>
          <w:szCs w:val="32"/>
          <w:highlight w:val="none"/>
          <w:lang w:val="en-US" w:eastAsia="zh-CN"/>
        </w:rPr>
        <w:t>2023年</w:t>
      </w:r>
      <w:r>
        <w:rPr>
          <w:rFonts w:hint="eastAsia" w:ascii="方正仿宋简体" w:hAnsi="方正仿宋简体" w:eastAsia="方正仿宋简体" w:cs="方正仿宋简体"/>
          <w:sz w:val="32"/>
          <w:szCs w:val="32"/>
          <w:highlight w:val="none"/>
          <w:lang w:eastAsia="zh-CN"/>
        </w:rPr>
        <w:t>疏勒县市场监督管理局</w:t>
      </w:r>
      <w:r>
        <w:rPr>
          <w:rFonts w:hint="eastAsia" w:ascii="方正仿宋简体" w:hAnsi="方正仿宋简体" w:eastAsia="方正仿宋简体" w:cs="方正仿宋简体"/>
          <w:sz w:val="32"/>
          <w:szCs w:val="32"/>
          <w:highlight w:val="none"/>
        </w:rPr>
        <w:t>正常开展单位财务工作</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基本按照</w:t>
      </w:r>
      <w:r>
        <w:rPr>
          <w:rFonts w:hint="eastAsia" w:ascii="方正仿宋简体" w:hAnsi="方正仿宋简体" w:eastAsia="方正仿宋简体" w:cs="方正仿宋简体"/>
          <w:sz w:val="32"/>
          <w:szCs w:val="32"/>
          <w:highlight w:val="none"/>
          <w:lang w:eastAsia="zh-CN"/>
        </w:rPr>
        <w:t>要求</w:t>
      </w:r>
      <w:r>
        <w:rPr>
          <w:rFonts w:hint="eastAsia" w:ascii="方正仿宋简体" w:hAnsi="方正仿宋简体" w:eastAsia="方正仿宋简体" w:cs="方正仿宋简体"/>
          <w:sz w:val="32"/>
          <w:szCs w:val="32"/>
          <w:highlight w:val="none"/>
          <w:lang w:val="en-US" w:eastAsia="zh-CN"/>
        </w:rPr>
        <w:t>执行了政府会计制度，保证了会计核算质量，</w:t>
      </w:r>
      <w:r>
        <w:rPr>
          <w:rFonts w:hint="eastAsia" w:ascii="方正仿宋简体" w:hAnsi="方正仿宋简体" w:eastAsia="方正仿宋简体" w:cs="方正仿宋简体"/>
          <w:sz w:val="32"/>
          <w:szCs w:val="32"/>
          <w:highlight w:val="none"/>
          <w:lang w:eastAsia="zh-CN"/>
        </w:rPr>
        <w:t>正常开展单位财务工作财经纪律、保证了会计信息质量和防范债务风险，</w:t>
      </w:r>
      <w:r>
        <w:rPr>
          <w:rFonts w:hint="eastAsia" w:ascii="方正仿宋简体" w:hAnsi="方正仿宋简体" w:eastAsia="方正仿宋简体" w:cs="方正仿宋简体"/>
          <w:sz w:val="32"/>
          <w:szCs w:val="32"/>
          <w:highlight w:val="none"/>
          <w:lang w:val="en-US" w:eastAsia="zh-CN"/>
        </w:rPr>
        <w:t>已按照</w:t>
      </w:r>
      <w:r>
        <w:rPr>
          <w:rFonts w:hint="eastAsia" w:ascii="方正仿宋简体" w:hAnsi="方正仿宋简体" w:eastAsia="方正仿宋简体" w:cs="方正仿宋简体"/>
          <w:sz w:val="32"/>
          <w:szCs w:val="32"/>
          <w:highlight w:val="none"/>
          <w:lang w:eastAsia="zh-CN"/>
        </w:rPr>
        <w:t>《会计法》的规定设置合规账本，建立各类账套（总账、收支明细账、往来明细账、固定资产账、财务月报表、决算报表等），会计核算按照单位性质、依据国家统一新颁布的会计制度、准则进行核算。账户管理规范，无设置账外账和“内外”两套账，未发现“小金库”。履行政府采购、招投标程序，不存在虚报，冒领国家财政资金的情况，也未出现挤占挪用专项资金，未发现偷逃税金</w:t>
      </w:r>
      <w:r>
        <w:rPr>
          <w:rFonts w:hint="eastAsia" w:ascii="方正仿宋简体" w:hAnsi="方正仿宋简体" w:eastAsia="方正仿宋简体" w:cs="方正仿宋简体"/>
          <w:sz w:val="32"/>
          <w:szCs w:val="32"/>
          <w:highlight w:val="none"/>
          <w:lang w:val="en-US" w:eastAsia="zh-CN"/>
        </w:rPr>
        <w:t>的情况</w:t>
      </w:r>
      <w:r>
        <w:rPr>
          <w:rFonts w:hint="eastAsia" w:ascii="方正仿宋简体" w:hAnsi="方正仿宋简体" w:eastAsia="方正仿宋简体" w:cs="方正仿宋简体"/>
          <w:sz w:val="32"/>
          <w:szCs w:val="32"/>
          <w:highlight w:val="none"/>
          <w:lang w:eastAsia="zh-CN"/>
        </w:rPr>
        <w:t>，未存在不及时缴纳各项社保及住房公积金、教育基金等其他违反财经法规问题。对国有资产管理中，购置、处置已按照国家相关规定进行，无随意处置、变卖、转借资产等行为；无随意将公款或公物转借企业，用于经营性经营等问题；无决策失误造成公款和公务损失问题。无重大违反中央、自治区和地区关于改进工作作风、密切联系群众的有关规定。按会计档案管理规定规范做好会计档案管理，会计核算真实客观、会计信息真实，财政预算管理和财务制度以及财经纪律执行基本合法、依规。</w:t>
      </w:r>
    </w:p>
    <w:p>
      <w:pPr>
        <w:keepNext w:val="0"/>
        <w:keepLines w:val="0"/>
        <w:pageBreakBefore w:val="0"/>
        <w:numPr>
          <w:ilvl w:val="0"/>
          <w:numId w:val="0"/>
        </w:numPr>
        <w:kinsoku/>
        <w:wordWrap/>
        <w:overflowPunct/>
        <w:topLinePunct w:val="0"/>
        <w:autoSpaceDE/>
        <w:autoSpaceDN/>
        <w:bidi w:val="0"/>
        <w:adjustRightInd/>
        <w:snapToGrid/>
        <w:spacing w:line="560" w:lineRule="exact"/>
        <w:ind w:left="482" w:leftChars="0"/>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四、检查发现的主要问题和处理（处罚）意见</w:t>
      </w:r>
    </w:p>
    <w:p>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会计基础核算工作薄弱，会计核算不规范，其中：会计凭证摘要记录不准确涉及金额54,830.00元，会计资料不齐全8,720.8元，财务会计未按照权责发生制来核算2,173.94元。</w:t>
      </w:r>
    </w:p>
    <w:p>
      <w:pPr>
        <w:keepNext w:val="0"/>
        <w:keepLines w:val="0"/>
        <w:pageBreakBefore w:val="0"/>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1、</w:t>
      </w:r>
      <w:r>
        <w:rPr>
          <w:rFonts w:hint="eastAsia" w:ascii="方正仿宋简体" w:hAnsi="方正仿宋简体" w:eastAsia="方正仿宋简体" w:cs="方正仿宋简体"/>
          <w:b w:val="0"/>
          <w:bCs w:val="0"/>
          <w:sz w:val="32"/>
          <w:szCs w:val="32"/>
          <w:highlight w:val="none"/>
          <w:lang w:val="en-US" w:eastAsia="zh-CN"/>
        </w:rPr>
        <w:t xml:space="preserve">会计凭证摘要表述不准确1笔业务，涉及金额54,830.00元。    </w:t>
      </w:r>
    </w:p>
    <w:p>
      <w:pPr>
        <w:keepNext w:val="0"/>
        <w:keepLines w:val="0"/>
        <w:pageBreakBefore w:val="0"/>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支付自聘人员的工资和社保54,830.00元，摘要不应记为“支付1-3月遗嘱补助”，体现在4月2#凭证中。</w:t>
      </w:r>
    </w:p>
    <w:p>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lang w:val="en-US" w:eastAsia="zh-CN"/>
        </w:rPr>
        <w:t xml:space="preserve">疏勒县市场监督管理局存在会计资料不齐全，缴纳个税未见明细和完税证明的情况，具体情况如下。涉及金额8,720.80元。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（1）支付2022年9月个人所得税3,074.29元，未见缴税证明和明细，体现在9月24#凭证中。</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（2）支付2022年8月个人所得税3,074.29元，未见缴税证明和明细，体现在8月11#凭证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（3）支付2022年5月个人所得税2,572.22元，未见缴税证明和明细，体现在5月12#凭证中。</w:t>
      </w:r>
    </w:p>
    <w:p>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3、</w:t>
      </w:r>
      <w:r>
        <w:rPr>
          <w:rFonts w:hint="eastAsia" w:ascii="方正仿宋简体" w:hAnsi="方正仿宋简体" w:eastAsia="方正仿宋简体" w:cs="方正仿宋简体"/>
          <w:b w:val="0"/>
          <w:bCs w:val="0"/>
          <w:sz w:val="32"/>
          <w:szCs w:val="32"/>
          <w:highlight w:val="none"/>
          <w:lang w:val="en-US" w:eastAsia="zh-CN"/>
        </w:rPr>
        <w:t>疏勒县市场监督管理局存在合同管理不规范的情况。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支付访贫问苦慰问费金额为95,682.00元，合同约定合同甲乙双方各执一份，附件存在两份合同。体现在7月7#凭证中。</w:t>
      </w:r>
    </w:p>
    <w:p>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4、</w:t>
      </w:r>
      <w:r>
        <w:rPr>
          <w:rFonts w:hint="eastAsia" w:ascii="方正仿宋简体" w:hAnsi="方正仿宋简体" w:eastAsia="方正仿宋简体" w:cs="方正仿宋简体"/>
          <w:b w:val="0"/>
          <w:bCs w:val="0"/>
          <w:sz w:val="32"/>
          <w:szCs w:val="32"/>
          <w:highlight w:val="none"/>
          <w:lang w:val="en-US" w:eastAsia="zh-CN"/>
        </w:rPr>
        <w:t>疏勒县市场监督管理局存在会计资料不齐全，直接将在建工程转入固定资产的情况。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在建工程转固定资产金额为700,000.00元，未见附件资料，体现在10月8#凭证中。</w:t>
      </w:r>
    </w:p>
    <w:p>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5、</w:t>
      </w:r>
      <w:r>
        <w:rPr>
          <w:rFonts w:hint="eastAsia" w:ascii="方正仿宋简体" w:hAnsi="方正仿宋简体" w:eastAsia="方正仿宋简体" w:cs="方正仿宋简体"/>
          <w:b w:val="0"/>
          <w:bCs w:val="0"/>
          <w:sz w:val="32"/>
          <w:szCs w:val="32"/>
          <w:highlight w:val="none"/>
          <w:lang w:val="en-US" w:eastAsia="zh-CN"/>
        </w:rPr>
        <w:t>未按权责发生制进行账务处理1笔，涉及金额2,173.94元。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7月份支付加油费2,173.94元，不应计入“业务活动费用”，应计入“预付账款”里，体现在7月5#凭证中。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上述做法违反了《政府会计准则》第三条：“政府会计由预算会计和财务会计构成；第十六</w:t>
      </w:r>
      <w:bookmarkStart w:id="7" w:name="_GoBack"/>
      <w:bookmarkEnd w:id="7"/>
      <w:r>
        <w:rPr>
          <w:rFonts w:hint="eastAsia" w:ascii="方正仿宋简体" w:hAnsi="方正仿宋简体" w:eastAsia="方正仿宋简体" w:cs="方正仿宋简体"/>
          <w:b w:val="0"/>
          <w:bCs w:val="0"/>
          <w:sz w:val="32"/>
          <w:szCs w:val="32"/>
          <w:highlight w:val="none"/>
          <w:lang w:val="en-US" w:eastAsia="zh-CN"/>
        </w:rPr>
        <w:t>条  政府会计主体提供的会计信息应当清晰明了，便于报告使用者理解和使用。第五条单位会计核算应当具备财务会计与预算会计双重功能，实现财务会计与预算会计适度分离并相互衔接，全面、清晰反映单位财务信息和预算执行信息，单位财务会计核算实行权责发生制；单位预算会计核算实行收付实现制。”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i w:val="0"/>
          <w:caps w:val="0"/>
          <w:color w:val="333333"/>
          <w:spacing w:val="0"/>
          <w:sz w:val="32"/>
          <w:szCs w:val="32"/>
          <w:highlight w:val="none"/>
          <w:shd w:val="clear" w:color="auto" w:fill="FFFFFF"/>
        </w:rPr>
      </w:pPr>
      <w:r>
        <w:rPr>
          <w:rFonts w:hint="eastAsia" w:ascii="方正仿宋简体" w:hAnsi="方正仿宋简体" w:eastAsia="方正仿宋简体" w:cs="方正仿宋简体"/>
          <w:b w:val="0"/>
          <w:bCs w:val="0"/>
          <w:sz w:val="32"/>
          <w:szCs w:val="32"/>
          <w:highlight w:val="none"/>
          <w:lang w:val="en-US" w:eastAsia="zh-CN"/>
        </w:rPr>
        <w:t xml:space="preserve"> 依据：以上不符合会计基础工作规范（2019修订）第七十八条：“会计机构、会计人员应当对财务收支进行监督。（一）对审批手续不全的财务收支，应当退回，要求补充、更正。（二）对违反规定不纳入单位统一会计核算的财务收支，应当制止和纠正。（三）对违反国家统一的财政、财务、会计制度规定的财务收支，不予办理。（四）对认为是违反国家统一的财政、财务、会计制度规定的财务收支，应当制止和纠正；制止和纠正无效的，应当向单位领导人提出书面意见请求处理。单位领导人应当在接到书面意见起十日内作出书面决定，并对决定承担责任。”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 xml:space="preserve"> 处理（处罚）意见：责成</w:t>
      </w:r>
      <w:r>
        <w:rPr>
          <w:rFonts w:hint="eastAsia" w:ascii="方正仿宋简体" w:hAnsi="方正仿宋简体" w:eastAsia="方正仿宋简体" w:cs="方正仿宋简体"/>
          <w:b w:val="0"/>
          <w:bCs w:val="0"/>
          <w:color w:val="auto"/>
          <w:kern w:val="2"/>
          <w:sz w:val="32"/>
          <w:szCs w:val="32"/>
          <w:highlight w:val="none"/>
          <w:lang w:val="en-US" w:eastAsia="zh-CN" w:bidi="ar-SA"/>
        </w:rPr>
        <w:t>疏勒县市场监督管理局在审计期间，加强培训、通报批评，及时梳理整理，现场整改，</w:t>
      </w:r>
      <w:r>
        <w:rPr>
          <w:rFonts w:hint="eastAsia" w:ascii="方正仿宋简体" w:hAnsi="方正仿宋简体" w:eastAsia="方正仿宋简体" w:cs="方正仿宋简体"/>
          <w:color w:val="auto"/>
          <w:kern w:val="2"/>
          <w:sz w:val="32"/>
          <w:szCs w:val="32"/>
          <w:highlight w:val="none"/>
          <w:lang w:val="en-US" w:eastAsia="zh-CN" w:bidi="ar-SA"/>
        </w:rPr>
        <w:t>引以为戒，责令今后不准发生类似问题。</w:t>
      </w:r>
      <w:r>
        <w:rPr>
          <w:rFonts w:hint="eastAsia" w:ascii="方正仿宋简体" w:hAnsi="方正仿宋简体" w:eastAsia="方正仿宋简体" w:cs="方正仿宋简体"/>
          <w:b w:val="0"/>
          <w:bCs w:val="0"/>
          <w:color w:val="auto"/>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p>
    <w:p>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未及时清理其他应付款往来账193,772.82元；其中包含：机构改革前往来9,714.37元、原药监局往来69,731.08元、以前年度加油机检定质保金1,000.00元、机构改革前原账套应付职工薪酬113,327.37元。</w:t>
      </w:r>
    </w:p>
    <w:p>
      <w:pPr>
        <w:keepNext w:val="0"/>
        <w:keepLines w:val="0"/>
        <w:pageBreakBefore w:val="0"/>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行政单位财务规则》第36条“行政单位应当加强对暂存款项的管理，不得将应当纳入单位收入管理的款项列入暂存款项；对各种暂存款项应当及时清理、结算，不得长期挂账。”《行政单位财务规则》第29条“行政单位应当严格控制暂付款的规模，并及时进行清理，不得长期挂账。”  《事业单位会计准则(试行)》第30条“各种应付款项和应缴款项应及时清理并按规定办理结算，不得长期挂账。”《事业单位会计准则(试行)》第23条“各种应收及预付款项应当定期与债务人对账核实。及时清算、催收。</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依据：《财政部关于建立健全企业应收款项管理制度的通知》“企业应当按照客户设立应收款项台账，详细反映内部各业务部门以及各个客户应收款项的发生、增减变动、余额及其每笔账龄等财务信息。同时加强合同管理，对债务人执行合同情况进行跟踪分析，防止坏账风险的发生。企业财务管理部门应当定期编制应收款项明细表，向企业管理人员和有关业务部门反映应收款项的余额和账龄等信息，及时分析应收款项管理情况，提请有关责任部门采取相应的措施，减少企业资产损失。”的规定</w:t>
      </w:r>
      <w:r>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rPr>
        <w:t>。 </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b w:val="0"/>
          <w:bCs w:val="0"/>
          <w:sz w:val="32"/>
          <w:szCs w:val="32"/>
          <w:highlight w:val="none"/>
          <w:lang w:val="en-US" w:eastAsia="zh-CN"/>
        </w:rPr>
        <w:t>处理（处罚）意见：责令</w:t>
      </w:r>
      <w:r>
        <w:rPr>
          <w:rFonts w:hint="eastAsia" w:ascii="方正仿宋简体" w:hAnsi="方正仿宋简体" w:eastAsia="方正仿宋简体" w:cs="方正仿宋简体"/>
          <w:b w:val="0"/>
          <w:bCs w:val="0"/>
          <w:kern w:val="2"/>
          <w:sz w:val="32"/>
          <w:szCs w:val="32"/>
          <w:highlight w:val="none"/>
          <w:lang w:val="en-US" w:eastAsia="zh-CN" w:bidi="ar-SA"/>
        </w:rPr>
        <w:t>疏</w:t>
      </w:r>
      <w:r>
        <w:rPr>
          <w:rFonts w:hint="eastAsia" w:ascii="方正仿宋简体" w:hAnsi="方正仿宋简体" w:eastAsia="方正仿宋简体" w:cs="方正仿宋简体"/>
          <w:kern w:val="2"/>
          <w:sz w:val="32"/>
          <w:szCs w:val="32"/>
          <w:highlight w:val="none"/>
          <w:lang w:val="en-US" w:eastAsia="zh-CN" w:bidi="ar-SA"/>
        </w:rPr>
        <w:t>勒县市场监督管理局在审计期间，认真核查、逐笔逐项分析，及时梳理，并将清理结果上报财政局监察股。</w:t>
      </w:r>
    </w:p>
    <w:p>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疏勒县市场监督管理局固定资产管理存在未能根据实际情况及时向国资委核销和入账的情况。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lang w:val="en-US" w:eastAsia="zh-CN"/>
        </w:rPr>
      </w:pPr>
      <w:r>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lang w:val="en-US" w:eastAsia="zh-CN"/>
        </w:rPr>
        <w:t>1、疏勒县市场监督管理局固定资产有11个建筑物，已经拆除，但未向县国资委申请做核销处理，涉及金额412,111.77元。详情如下表：</w:t>
      </w:r>
    </w:p>
    <w:tbl>
      <w:tblPr>
        <w:tblStyle w:val="10"/>
        <w:tblW w:w="8956" w:type="dxa"/>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1650"/>
        <w:gridCol w:w="2030"/>
        <w:gridCol w:w="1457"/>
        <w:gridCol w:w="1188"/>
        <w:gridCol w:w="1435"/>
        <w:gridCol w:w="1196"/>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40"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名称</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使用部门</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价格（原值）</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资产编号</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盘点情况</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b/>
                <w:bCs/>
                <w:i w:val="0"/>
                <w:iCs w:val="0"/>
                <w:color w:val="000000"/>
                <w:sz w:val="32"/>
                <w:szCs w:val="32"/>
                <w:highlight w:val="none"/>
                <w:u w:val="none"/>
              </w:rPr>
            </w:pPr>
            <w:r>
              <w:rPr>
                <w:rStyle w:val="16"/>
                <w:rFonts w:hint="eastAsia" w:ascii="方正仿宋简体" w:hAnsi="方正仿宋简体" w:eastAsia="方正仿宋简体" w:cs="方正仿宋简体"/>
                <w:sz w:val="32"/>
                <w:szCs w:val="32"/>
                <w:highlight w:val="none"/>
                <w:lang w:val="en-US" w:eastAsia="zh-CN" w:bidi="ar"/>
              </w:rPr>
              <w:t>建筑面积</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阿拉甫所办公室</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疏勒县工商行政管理局</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30,646.83</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2141161</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225.9</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塔孜洪所办公室</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疏勒县工商行政管理局</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30,646.83</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2141162</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150.4</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洋大曼所办公室</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疏勒县工商行政管理局</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31,413.00</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2141160</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172.5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北门住宅</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疏勒县工商行政管理局</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104,196.20</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2141159</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562.96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北门所办公楼</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疏勒县工商行政管理局</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127,000.00</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2141158</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324.75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职工宿舍</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疏勒县坤巴斯路19院</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9,500.00</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70041156</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Style w:val="18"/>
                <w:rFonts w:hint="eastAsia" w:ascii="方正仿宋简体" w:hAnsi="方正仿宋简体" w:eastAsia="方正仿宋简体" w:cs="方正仿宋简体"/>
                <w:i w:val="0"/>
                <w:iCs w:val="0"/>
                <w:sz w:val="32"/>
                <w:szCs w:val="32"/>
                <w:highlight w:val="none"/>
                <w:lang w:val="en-US" w:eastAsia="zh-CN" w:bidi="ar"/>
              </w:rPr>
            </w:pPr>
            <w:r>
              <w:rPr>
                <w:rStyle w:val="18"/>
                <w:rFonts w:hint="eastAsia" w:ascii="方正仿宋简体" w:hAnsi="方正仿宋简体" w:eastAsia="方正仿宋简体" w:cs="方正仿宋简体"/>
                <w:i w:val="0"/>
                <w:iCs w:val="0"/>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82.32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职工宿舍</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疏勒县坤巴斯路19院</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9,500.00</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70041157</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82.68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办公室</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疏勒县坤巴斯路19院</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40,351.91</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70041155</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400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车库</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疏勒县坤巴斯路19院</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5,500.00</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70041154</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40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22" w:hRule="atLeast"/>
        </w:trPr>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化验室</w:t>
            </w:r>
          </w:p>
        </w:tc>
        <w:tc>
          <w:tcPr>
            <w:tcW w:w="20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Style w:val="17"/>
                <w:rFonts w:hint="eastAsia" w:ascii="方正仿宋简体" w:hAnsi="方正仿宋简体" w:eastAsia="方正仿宋简体" w:cs="方正仿宋简体"/>
                <w:sz w:val="32"/>
                <w:szCs w:val="32"/>
                <w:highlight w:val="none"/>
                <w:lang w:val="en-US" w:eastAsia="zh-CN" w:bidi="ar"/>
              </w:rPr>
              <w:t>疏勒县坤巴斯路19院</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23,357.00</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70041031</w:t>
            </w: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Style w:val="18"/>
                <w:rFonts w:hint="eastAsia" w:ascii="方正仿宋简体" w:hAnsi="方正仿宋简体" w:eastAsia="方正仿宋简体" w:cs="方正仿宋简体"/>
                <w:sz w:val="32"/>
                <w:szCs w:val="32"/>
                <w:highlight w:val="none"/>
                <w:lang w:val="en-US" w:eastAsia="zh-CN" w:bidi="ar"/>
              </w:rPr>
              <w:t>已拆除</w:t>
            </w: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sz w:val="32"/>
                <w:szCs w:val="32"/>
                <w:highlight w:val="none"/>
                <w:u w:val="none"/>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1480.46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650" w:hRule="atLeast"/>
        </w:trPr>
        <w:tc>
          <w:tcPr>
            <w:tcW w:w="368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Style w:val="17"/>
                <w:rFonts w:hint="eastAsia" w:ascii="方正仿宋简体" w:hAnsi="方正仿宋简体" w:eastAsia="方正仿宋简体" w:cs="方正仿宋简体"/>
                <w:sz w:val="32"/>
                <w:szCs w:val="32"/>
                <w:highlight w:val="none"/>
                <w:lang w:val="en-US" w:eastAsia="zh-CN" w:bidi="ar"/>
              </w:rPr>
            </w:pPr>
            <w:r>
              <w:rPr>
                <w:rStyle w:val="17"/>
                <w:rFonts w:hint="eastAsia" w:ascii="方正仿宋简体" w:hAnsi="方正仿宋简体" w:eastAsia="方正仿宋简体" w:cs="方正仿宋简体"/>
                <w:sz w:val="32"/>
                <w:szCs w:val="32"/>
                <w:highlight w:val="none"/>
                <w:lang w:val="en-US" w:eastAsia="zh-CN" w:bidi="ar"/>
              </w:rPr>
              <w:t>小计</w:t>
            </w:r>
          </w:p>
        </w:tc>
        <w:tc>
          <w:tcPr>
            <w:tcW w:w="14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方正仿宋简体" w:hAnsi="方正仿宋简体" w:eastAsia="方正仿宋简体" w:cs="方正仿宋简体"/>
                <w:i w:val="0"/>
                <w:iCs w:val="0"/>
                <w:color w:val="000000"/>
                <w:kern w:val="2"/>
                <w:sz w:val="32"/>
                <w:szCs w:val="32"/>
                <w:highlight w:val="none"/>
                <w:u w:val="none"/>
                <w:lang w:val="en-US" w:eastAsia="zh-CN" w:bidi="ar-SA"/>
              </w:rPr>
            </w:pPr>
            <w:r>
              <w:rPr>
                <w:rFonts w:hint="eastAsia" w:ascii="方正仿宋简体" w:hAnsi="方正仿宋简体" w:eastAsia="方正仿宋简体" w:cs="方正仿宋简体"/>
                <w:i w:val="0"/>
                <w:iCs w:val="0"/>
                <w:color w:val="000000"/>
                <w:kern w:val="0"/>
                <w:sz w:val="32"/>
                <w:szCs w:val="32"/>
                <w:highlight w:val="none"/>
                <w:u w:val="none"/>
                <w:lang w:val="en-US" w:eastAsia="zh-CN" w:bidi="ar"/>
              </w:rPr>
              <w:t xml:space="preserve">412,111.77 </w:t>
            </w:r>
          </w:p>
        </w:tc>
        <w:tc>
          <w:tcPr>
            <w:tcW w:w="11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kern w:val="0"/>
                <w:sz w:val="32"/>
                <w:szCs w:val="32"/>
                <w:highlight w:val="none"/>
                <w:u w:val="none"/>
                <w:lang w:val="en-US" w:eastAsia="zh-CN" w:bidi="ar"/>
              </w:rPr>
            </w:pPr>
          </w:p>
        </w:tc>
        <w:tc>
          <w:tcPr>
            <w:tcW w:w="14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Style w:val="18"/>
                <w:rFonts w:hint="eastAsia" w:ascii="方正仿宋简体" w:hAnsi="方正仿宋简体" w:eastAsia="方正仿宋简体" w:cs="方正仿宋简体"/>
                <w:sz w:val="32"/>
                <w:szCs w:val="32"/>
                <w:highlight w:val="none"/>
                <w:lang w:val="en-US" w:eastAsia="zh-CN" w:bidi="ar"/>
              </w:rPr>
            </w:pPr>
          </w:p>
        </w:tc>
        <w:tc>
          <w:tcPr>
            <w:tcW w:w="11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top"/>
              <w:rPr>
                <w:rFonts w:hint="eastAsia" w:ascii="方正仿宋简体" w:hAnsi="方正仿宋简体" w:eastAsia="方正仿宋简体" w:cs="方正仿宋简体"/>
                <w:i w:val="0"/>
                <w:iCs w:val="0"/>
                <w:color w:val="000000"/>
                <w:kern w:val="0"/>
                <w:sz w:val="32"/>
                <w:szCs w:val="32"/>
                <w:highlight w:val="none"/>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lang w:val="en-US" w:eastAsia="zh-CN"/>
        </w:rPr>
      </w:pPr>
      <w:r>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lang w:val="en-US" w:eastAsia="zh-CN"/>
        </w:rPr>
        <w:t>2、疏勒县市场监督管理局存在固定资产未能根据实际情况及时入账的情况，具体情况如下：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lang w:val="en-US" w:eastAsia="zh-CN"/>
        </w:rPr>
      </w:pPr>
      <w:r>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lang w:val="en-US" w:eastAsia="zh-CN"/>
        </w:rPr>
        <w:t>经盘点发现，资产卡片少入一辆车，该车辆为2019年购买的食品快检车。同时该车辆没有上牌，不能正常上路。涉及金额551,609.50元。</w:t>
      </w:r>
    </w:p>
    <w:p>
      <w:pPr>
        <w:keepNext w:val="0"/>
        <w:keepLines w:val="0"/>
        <w:pageBreakBefore w:val="0"/>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行政单位国有资产管理暂行办法》第二十七条：行政单位国有资产处置，是指行政单位国有资产产权的转移及核销，包括各类国有资产的无偿转让、出售、置换、报损、报废等。第二十八条：行政单位需处置的国有资产范围包括：（一）闲置资产；（二）因技术原因并经过科学论证，确需报废、淘汰的资产；（三）因单位分立、撤销、合并、改制、隶属关系改变等原因发生的产权或者使用权转移的资产；（四）盘亏、呆账及非正常损失的资产；（五）已超过使用年限无法使用的资产；（六）依照国家有关规定需要进行资产处置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225" w:beforeAutospacing="0" w:after="0" w:afterAutospacing="0" w:line="560" w:lineRule="exact"/>
        <w:ind w:right="0" w:firstLine="640" w:firstLineChars="200"/>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依据：《行政单位会计制度》第七条行政单位的固定资产应当定期进行清查盘点，每年至少盘点一次。对于固定资产发生盘盈、盘亏的，应当及时查明原因，按照规定报经批准后进行账务处理。</w:t>
      </w:r>
      <w:bookmarkStart w:id="0" w:name="No305_Z8T39K46"/>
      <w:bookmarkEnd w:id="0"/>
      <w:r>
        <w:rPr>
          <w:rFonts w:hint="eastAsia" w:ascii="方正仿宋简体" w:hAnsi="方正仿宋简体" w:eastAsia="方正仿宋简体" w:cs="方正仿宋简体"/>
          <w:b w:val="0"/>
          <w:bCs w:val="0"/>
          <w:kern w:val="2"/>
          <w:sz w:val="32"/>
          <w:szCs w:val="32"/>
          <w:highlight w:val="none"/>
          <w:lang w:val="en-US" w:eastAsia="zh-CN" w:bidi="ar-SA"/>
        </w:rPr>
        <w:t>1.盘盈的固定资产，按照取得同类或类似固定资产的实际成本确定入账价值；没有同类或类似固定资产的实际成本，按照同类或类似固定资产的市场价格确定入账价值；同类或类似固定资产的实际成本或市场价格无法可靠取得，按照名义金额入账。</w:t>
      </w:r>
      <w:bookmarkStart w:id="1" w:name="No306_Z8T39K47"/>
      <w:bookmarkEnd w:id="1"/>
      <w:r>
        <w:rPr>
          <w:rFonts w:hint="eastAsia" w:ascii="方正仿宋简体" w:hAnsi="方正仿宋简体" w:eastAsia="方正仿宋简体" w:cs="方正仿宋简体"/>
          <w:b w:val="0"/>
          <w:bCs w:val="0"/>
          <w:kern w:val="2"/>
          <w:sz w:val="32"/>
          <w:szCs w:val="32"/>
          <w:highlight w:val="none"/>
          <w:lang w:val="en-US" w:eastAsia="zh-CN" w:bidi="ar-SA"/>
        </w:rPr>
        <w:t>盘盈的固定资产，按照确定的入账价值，借记本科目，贷记“待处理财产损溢”科目。</w:t>
      </w:r>
      <w:bookmarkStart w:id="2" w:name="No307_Z8T39K48"/>
      <w:bookmarkEnd w:id="2"/>
      <w:r>
        <w:rPr>
          <w:rFonts w:hint="eastAsia" w:ascii="方正仿宋简体" w:hAnsi="方正仿宋简体" w:eastAsia="方正仿宋简体" w:cs="方正仿宋简体"/>
          <w:b w:val="0"/>
          <w:bCs w:val="0"/>
          <w:kern w:val="2"/>
          <w:sz w:val="32"/>
          <w:szCs w:val="32"/>
          <w:highlight w:val="none"/>
          <w:lang w:val="en-US" w:eastAsia="zh-CN" w:bidi="ar-SA"/>
        </w:rPr>
        <w:t>2.盘亏的固定资产，按照盘亏固定资产的账面价值，借记“待处理财产损溢”科目，按照已计提折旧，借记“累计折旧”科目，按照固定资产账面余额，贷记本科目。</w:t>
      </w:r>
    </w:p>
    <w:p>
      <w:pPr>
        <w:keepNext w:val="0"/>
        <w:keepLines w:val="0"/>
        <w:pageBreakBefore w:val="0"/>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b w:val="0"/>
          <w:bCs w:val="0"/>
          <w:kern w:val="2"/>
          <w:sz w:val="32"/>
          <w:szCs w:val="32"/>
          <w:highlight w:val="none"/>
          <w:lang w:val="en-US" w:eastAsia="zh-CN" w:bidi="ar-SA"/>
        </w:rPr>
      </w:pPr>
      <w:bookmarkStart w:id="3" w:name="No308_T39K48X6"/>
      <w:bookmarkEnd w:id="3"/>
      <w:r>
        <w:rPr>
          <w:rFonts w:hint="eastAsia" w:ascii="方正仿宋简体" w:hAnsi="方正仿宋简体" w:eastAsia="方正仿宋简体" w:cs="方正仿宋简体"/>
          <w:b w:val="0"/>
          <w:bCs w:val="0"/>
          <w:kern w:val="2"/>
          <w:sz w:val="32"/>
          <w:szCs w:val="32"/>
          <w:highlight w:val="none"/>
          <w:lang w:val="en-US" w:eastAsia="zh-CN" w:bidi="ar-SA"/>
        </w:rPr>
        <w:t>处理（处罚）意见：责令疏勒县市场监督管理局在审计期间，认真核查、逐笔逐项分析，及时梳理，并将清理结果上报财政局监察股。</w:t>
      </w:r>
    </w:p>
    <w:p>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疏勒县市场监督管理局存在对外出借固定和使用外借资产的情况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1、疏勒县市场监督管理局存在对外出借固定的情况，且未见相关手续的情况，具体情况如下：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车牌号为：新Q56817,车架号为:LSVDM49F482556488；该车辆产权属于本单位，但未在本单位保管和使用，实际使用和保管在工业园区。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2、疏勒县市场监督管理局存在保管和使用外单位车辆的情况，且未见相关手续的情况，具体情况如下：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车牌号为：新Q62065，车架号为：LRH17A4E990000298；该车辆产权不属于本单位，（属于财政局惠民信用担保中心），但一直在本单位保管和使用。</w:t>
      </w:r>
    </w:p>
    <w:p>
      <w:pPr>
        <w:keepNext w:val="0"/>
        <w:keepLines w:val="0"/>
        <w:pageBreakBefore w:val="0"/>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行政单位国有资产管理暂行办法》第八条：“各级财政部门是政府负责行政单位国有资产管理的职能部门，对行政单位国有资产实行综合管理。其主要职责是：（一）贯彻执行国家有关国有资产管理的法律、法规和政策；（二）根据国家国有资产管理的有关规定，制定行政单位国有资产管理的规章制度，并对执行情况进行监督检查；（三）负责会同有关部门研究制定本级行政单位国有资产配置标准，负责资产配置事项的审批，按规定进行资产处置和产权变动事项的审批，负责组织产权界定、产权纠纷调处、资产统计报告、资产评估、资产清查等工作；（四）负责本级行政单位出租、出借国有资产的审批，负责与行政单位尚未脱钩的经济实体的国有资产的监督管理；（五）负责本级行政单位国有资产收益的监督、管理；（六）对本级行政单位和下级财政部门的国有资产管理工作进行监督、检查；（七）向本级政府和上级财政部门报告有关国有资产管理工作。”</w:t>
      </w:r>
      <w:r>
        <w:rPr>
          <w:rFonts w:hint="eastAsia" w:ascii="方正仿宋简体" w:hAnsi="方正仿宋简体" w:eastAsia="方正仿宋简体" w:cs="方正仿宋简体"/>
          <w:b w:val="0"/>
          <w:bCs w:val="0"/>
          <w:sz w:val="32"/>
          <w:szCs w:val="32"/>
          <w:highlight w:val="none"/>
          <w:lang w:val="en-US" w:eastAsia="zh-CN"/>
        </w:rPr>
        <w:br w:type="textWrapping"/>
      </w:r>
      <w:r>
        <w:rPr>
          <w:rFonts w:hint="eastAsia" w:ascii="方正仿宋简体" w:hAnsi="方正仿宋简体" w:eastAsia="方正仿宋简体" w:cs="方正仿宋简体"/>
          <w:b w:val="0"/>
          <w:bCs w:val="0"/>
          <w:sz w:val="32"/>
          <w:szCs w:val="32"/>
          <w:highlight w:val="none"/>
          <w:lang w:val="en-US" w:eastAsia="zh-CN"/>
        </w:rPr>
        <w:t>　　依据：《行政单位国有资产管理暂行办法》第二十四条：“行政单位拟将占有、使用的国有资产对外出租、出借的，必须事先上报同级财政部门审核批准。未经批准，不得对外出租、出借。同级财政部门应当根据实际情况对行政单位国有资产对外出租、出借事项严格控制，从严审批。”</w:t>
      </w:r>
    </w:p>
    <w:p>
      <w:pPr>
        <w:keepNext w:val="0"/>
        <w:keepLines w:val="0"/>
        <w:pageBreakBefore w:val="0"/>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lang w:val="en-US" w:eastAsia="zh-CN"/>
        </w:rPr>
        <w:t>处理（处罚）意见</w:t>
      </w:r>
      <w:r>
        <w:rPr>
          <w:rFonts w:hint="eastAsia" w:ascii="方正仿宋简体" w:hAnsi="方正仿宋简体" w:eastAsia="方正仿宋简体" w:cs="方正仿宋简体"/>
          <w:sz w:val="32"/>
          <w:szCs w:val="32"/>
          <w:highlight w:val="none"/>
          <w:lang w:val="en-US" w:eastAsia="zh-CN"/>
        </w:rPr>
        <w:t>：责令疏勒县市场监督管理局完善资产的管理工作，补齐出租出借手续，完成本级行政单位国有资产收益的监督、管理。</w:t>
      </w:r>
    </w:p>
    <w:p>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疏勒县市场监督管理局存在存货无法核实，资产盘亏的情况，具体情况如下：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截止2022年12月31日存货期末余额为：13,015.71元，盘点无此项存货，经核实该笔存货是2005年6月以前形成的。至今已无法核实该存货的内容和数量，同时未进行会议纪要和账务处理。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上述做法违反了《行政单位财务规则》第六十二条</w:t>
      </w:r>
      <w:bookmarkStart w:id="4" w:name="No202_Z9T62K1"/>
      <w:bookmarkEnd w:id="4"/>
      <w:r>
        <w:rPr>
          <w:rFonts w:hint="eastAsia" w:ascii="方正仿宋简体" w:hAnsi="方正仿宋简体" w:eastAsia="方正仿宋简体" w:cs="方正仿宋简体"/>
          <w:sz w:val="32"/>
          <w:szCs w:val="32"/>
          <w:highlight w:val="none"/>
          <w:lang w:val="en-US" w:eastAsia="zh-CN"/>
        </w:rPr>
        <w:t>财务报告必须真实、准确、完整地反映本部门的财务状况，财务报告的编制必须依据会计核算资料和有关文件进行，做到账表一致。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依据：《行政单位会计制度》（四）行政单位的存货应当定期进行清查盘点，每年至少盘点一次。对于发生的存货盘盈、盘亏，应当及时查明原因，按规定报经批准后进行账务处理。</w:t>
      </w:r>
      <w:bookmarkStart w:id="5" w:name="No253_T39K19X4M1"/>
      <w:bookmarkEnd w:id="5"/>
      <w:r>
        <w:rPr>
          <w:rFonts w:hint="eastAsia" w:ascii="方正仿宋简体" w:hAnsi="方正仿宋简体" w:eastAsia="方正仿宋简体" w:cs="方正仿宋简体"/>
          <w:sz w:val="32"/>
          <w:szCs w:val="32"/>
          <w:highlight w:val="none"/>
          <w:lang w:val="en-US" w:eastAsia="zh-CN"/>
        </w:rPr>
        <w:t>1.盘盈的存货，按照取得同类或类似存货的实际成本确定入账价值；没有同类或类似存货的实际成本，按照同类或类似存货的市场价格确定入账价值；同类或类似存货的实际成本或市场价格无法可靠取得，按照名义金额入账。盘盈的存货，按照确定的入账价值，借记本科目，贷记“待处理财产损溢”科目。</w:t>
      </w:r>
      <w:bookmarkStart w:id="6" w:name="No254_T39K19X4M2"/>
      <w:bookmarkEnd w:id="6"/>
      <w:r>
        <w:rPr>
          <w:rFonts w:hint="eastAsia" w:ascii="方正仿宋简体" w:hAnsi="方正仿宋简体" w:eastAsia="方正仿宋简体" w:cs="方正仿宋简体"/>
          <w:sz w:val="32"/>
          <w:szCs w:val="32"/>
          <w:highlight w:val="none"/>
          <w:lang w:val="en-US" w:eastAsia="zh-CN"/>
        </w:rPr>
        <w:t>2.盘亏的存货，转入待处理财产损溢时，按照其账面余额，借记“待处理财产损溢”科目，贷记本科目。</w:t>
      </w:r>
    </w:p>
    <w:p>
      <w:pPr>
        <w:keepNext w:val="0"/>
        <w:keepLines w:val="0"/>
        <w:pageBreakBefore w:val="0"/>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lang w:val="en-US" w:eastAsia="zh-CN"/>
        </w:rPr>
        <w:t>处理（处罚）意见：责令疏</w:t>
      </w:r>
      <w:r>
        <w:rPr>
          <w:rFonts w:hint="eastAsia" w:ascii="方正仿宋简体" w:hAnsi="方正仿宋简体" w:eastAsia="方正仿宋简体" w:cs="方正仿宋简体"/>
          <w:sz w:val="32"/>
          <w:szCs w:val="32"/>
          <w:highlight w:val="none"/>
          <w:lang w:val="en-US" w:eastAsia="zh-CN"/>
        </w:rPr>
        <w:t>勒县市场监督管理局对单位的存货进行核实，根据实际情况对存货进行处理，</w:t>
      </w:r>
      <w:r>
        <w:rPr>
          <w:rFonts w:hint="eastAsia" w:ascii="方正仿宋简体" w:hAnsi="方正仿宋简体" w:eastAsia="方正仿宋简体" w:cs="方正仿宋简体"/>
          <w:kern w:val="2"/>
          <w:sz w:val="32"/>
          <w:szCs w:val="32"/>
          <w:lang w:val="en-US" w:eastAsia="zh-CN" w:bidi="ar-SA"/>
        </w:rPr>
        <w:t>并将处理结果上报财政局监察</w:t>
      </w:r>
      <w:r>
        <w:rPr>
          <w:rFonts w:hint="eastAsia" w:ascii="方正仿宋简体" w:hAnsi="方正仿宋简体" w:eastAsia="方正仿宋简体" w:cs="方正仿宋简体"/>
          <w:kern w:val="2"/>
          <w:sz w:val="32"/>
          <w:szCs w:val="32"/>
          <w:highlight w:val="none"/>
          <w:lang w:val="en-US" w:eastAsia="zh-CN" w:bidi="ar-SA"/>
        </w:rPr>
        <w:t>股</w:t>
      </w:r>
      <w:r>
        <w:rPr>
          <w:rFonts w:hint="eastAsia" w:ascii="方正仿宋简体" w:hAnsi="方正仿宋简体" w:eastAsia="方正仿宋简体" w:cs="方正仿宋简体"/>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（六）疏勒县市场监督管理局存在支付款项采购程序不到位，手续不齐全，制度执行不到位的情况，具体情况如下：</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支付慰问驻村工作队慰问费金额为8,775.00元，未见进行验收，体现在4月6#凭证中。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购买保险服务金额为6,762.09元，未见进行验收，体现在4月12#凭证中。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支付人事系统软件服务费金额为600.00元，未见验收单，体现在12月9#凭证中。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支付公务用车维修费金额为9,075.00元，未见验收单，体现在7月12#凭证中。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支付机关车辆维修费金额为9,845.00元,验收单未签字，未盖章，体现在12月4#凭证中。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支付水泵修理费金额为650.00元，未见三方询价、验收手续，体现在4月7#凭证中。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支付水管电路维修费金额为4,600.00元，未见三方询价、验收手续，体现在4月9#凭证中。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支付机关办公费金额为4,875.00元，未见三方询价、验收手续，体现在9月8#凭证中。</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支付机关办公费金额为2,400.00元，未见三方询价、验收手续，体现在9月10#凭证中。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简体" w:hAnsi="方正仿宋简体" w:eastAsia="方正仿宋简体" w:cs="方正仿宋简体"/>
          <w:color w:val="auto"/>
          <w:sz w:val="32"/>
          <w:szCs w:val="32"/>
          <w:highlight w:val="yellow"/>
        </w:rPr>
      </w:pPr>
      <w:r>
        <w:rPr>
          <w:rFonts w:hint="eastAsia" w:ascii="方正仿宋简体" w:hAnsi="方正仿宋简体" w:eastAsia="方正仿宋简体" w:cs="方正仿宋简体"/>
          <w:sz w:val="32"/>
          <w:szCs w:val="32"/>
          <w:highlight w:val="none"/>
          <w:lang w:val="en-US" w:eastAsia="zh-CN"/>
        </w:rPr>
        <w:t>上述做法违反了《中华人民共和国政府采购法》《中华人民共和国国有资产法》这些法律法规明确规定了政府部门对于固定资产的管理和处置，要求政府部门合理使用、保护、增值和处置固定资产，防止固定资产闲置浪费。同时，政府固定资产闲置还会影响国家资源的有效利用和经济发展。因此，各级政府部门应当加强对固定资产的管理和监督，及时清理和处置闲置资产，提高资产利用效率，促进国家经济的可持续发展。</w:t>
      </w:r>
    </w:p>
    <w:p>
      <w:pPr>
        <w:pStyle w:val="4"/>
        <w:keepNext w:val="0"/>
        <w:keepLines w:val="0"/>
        <w:pageBreakBefore w:val="0"/>
        <w:kinsoku/>
        <w:wordWrap/>
        <w:overflowPunct/>
        <w:topLinePunct w:val="0"/>
        <w:autoSpaceDE/>
        <w:autoSpaceDN/>
        <w:bidi w:val="0"/>
        <w:spacing w:line="560"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依据：《行政事业单位内部控制规范（试行）》第三十二条：“单位应当建立健全政府采购预算与计划管理、政府 采购活动管理、验收管理等政府采购内部管理制度。”的规定。</w:t>
      </w:r>
    </w:p>
    <w:p>
      <w:pPr>
        <w:keepNext w:val="0"/>
        <w:keepLines w:val="0"/>
        <w:pageBreakBefore w:val="0"/>
        <w:kinsoku/>
        <w:wordWrap/>
        <w:overflowPunct/>
        <w:topLinePunct w:val="0"/>
        <w:autoSpaceDE/>
        <w:autoSpaceDN/>
        <w:bidi w:val="0"/>
        <w:spacing w:line="560" w:lineRule="exact"/>
        <w:ind w:firstLine="643"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lang w:val="en-US" w:eastAsia="zh-CN"/>
        </w:rPr>
        <w:t>处理（处罚）意见</w:t>
      </w:r>
      <w:r>
        <w:rPr>
          <w:rFonts w:hint="eastAsia" w:ascii="方正仿宋简体" w:hAnsi="方正仿宋简体" w:eastAsia="方正仿宋简体" w:cs="方正仿宋简体"/>
          <w:sz w:val="32"/>
          <w:szCs w:val="32"/>
          <w:highlight w:val="none"/>
          <w:lang w:val="en-US" w:eastAsia="zh-CN"/>
        </w:rPr>
        <w:t>：责令疏勒县市场监督管理局加强对政府采购活动的管理。对政府采购 活动实施归口管理，在政府采购活动中建立政府采购、资产管理、财 会、内部审计、纪检监察等部门或岗位相互协调、相互制约的机制。</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五</w:t>
      </w:r>
      <w:r>
        <w:rPr>
          <w:rFonts w:hint="eastAsia" w:ascii="方正仿宋简体" w:hAnsi="方正仿宋简体" w:eastAsia="方正仿宋简体" w:cs="方正仿宋简体"/>
          <w:b/>
          <w:sz w:val="32"/>
          <w:szCs w:val="32"/>
          <w:highlight w:val="none"/>
        </w:rPr>
        <w:t>、</w:t>
      </w:r>
      <w:r>
        <w:rPr>
          <w:rFonts w:hint="eastAsia" w:ascii="方正仿宋简体" w:hAnsi="方正仿宋简体" w:eastAsia="方正仿宋简体" w:cs="方正仿宋简体"/>
          <w:b/>
          <w:sz w:val="32"/>
          <w:szCs w:val="32"/>
          <w:highlight w:val="none"/>
          <w:lang w:eastAsia="zh-CN"/>
        </w:rPr>
        <w:t>财政监督检查</w:t>
      </w:r>
      <w:r>
        <w:rPr>
          <w:rFonts w:hint="eastAsia" w:ascii="方正仿宋简体" w:hAnsi="方正仿宋简体" w:eastAsia="方正仿宋简体" w:cs="方正仿宋简体"/>
          <w:b/>
          <w:sz w:val="32"/>
          <w:szCs w:val="32"/>
          <w:highlight w:val="none"/>
        </w:rPr>
        <w:t>建议</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分析产生上述问题的原因：一是</w:t>
      </w:r>
      <w:r>
        <w:rPr>
          <w:rFonts w:hint="eastAsia" w:ascii="方正仿宋简体" w:hAnsi="方正仿宋简体" w:eastAsia="方正仿宋简体" w:cs="方正仿宋简体"/>
          <w:sz w:val="32"/>
          <w:szCs w:val="32"/>
          <w:highlight w:val="none"/>
          <w:lang w:val="en-US" w:eastAsia="zh-CN"/>
        </w:rPr>
        <w:t>对会计基础工作规范缺失足够的认识</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财务制度不健全，单位负责人不重视会计基础工作，会计基础工作无法规范。</w:t>
      </w:r>
      <w:r>
        <w:rPr>
          <w:rFonts w:hint="eastAsia" w:ascii="方正仿宋简体" w:hAnsi="方正仿宋简体" w:eastAsia="方正仿宋简体" w:cs="方正仿宋简体"/>
          <w:sz w:val="32"/>
          <w:szCs w:val="32"/>
          <w:highlight w:val="none"/>
          <w:lang w:eastAsia="zh-CN"/>
        </w:rPr>
        <w:t>疏勒县市场监督管理局规范财务</w:t>
      </w:r>
      <w:r>
        <w:rPr>
          <w:rFonts w:hint="eastAsia" w:ascii="方正仿宋简体" w:hAnsi="方正仿宋简体" w:eastAsia="方正仿宋简体" w:cs="方正仿宋简体"/>
          <w:sz w:val="32"/>
          <w:szCs w:val="32"/>
          <w:highlight w:val="none"/>
          <w:lang w:val="en-US" w:eastAsia="zh-CN"/>
        </w:rPr>
        <w:t>未能按照财务制度严格执行</w:t>
      </w:r>
      <w:r>
        <w:rPr>
          <w:rFonts w:hint="eastAsia" w:ascii="方正仿宋简体" w:hAnsi="方正仿宋简体" w:eastAsia="方正仿宋简体" w:cs="方正仿宋简体"/>
          <w:sz w:val="32"/>
          <w:szCs w:val="32"/>
          <w:highlight w:val="none"/>
          <w:lang w:eastAsia="zh-CN"/>
        </w:rPr>
        <w:t>；二是</w:t>
      </w:r>
      <w:r>
        <w:rPr>
          <w:rFonts w:hint="eastAsia" w:ascii="方正仿宋简体" w:hAnsi="方正仿宋简体" w:eastAsia="方正仿宋简体" w:cs="方正仿宋简体"/>
          <w:sz w:val="32"/>
          <w:szCs w:val="32"/>
          <w:highlight w:val="none"/>
          <w:lang w:val="en-US" w:eastAsia="zh-CN"/>
        </w:rPr>
        <w:t>内部控制制度不完善，财务监督不到位会计基础工作不规范、会计核算工作程序不符合要求</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针对上诉问题提出一下意见：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一是疏勒县市场监督管理局加强对财务管理工作的重视，</w:t>
      </w:r>
      <w:r>
        <w:rPr>
          <w:rFonts w:hint="eastAsia" w:ascii="方正仿宋简体" w:hAnsi="方正仿宋简体" w:eastAsia="方正仿宋简体" w:cs="方正仿宋简体"/>
          <w:sz w:val="32"/>
          <w:szCs w:val="32"/>
          <w:highlight w:val="none"/>
          <w:lang w:val="en-US" w:eastAsia="zh-CN"/>
        </w:rPr>
        <w:t>制定合理的财务制度，严格按照财务制度执行，配备充足的工作人员，做到相互监督，相互制约。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二是加强相关财务人员的会计相关知识培训学习，迫使综合能力不断得到提高，以满足财务岗位业务需求。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三是要加强内部控制环境及制度的建设。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记帐人员与经济业务事项和会计事项的审批人员、经办人员、财物保管人员的职责权限应当明确，并相互分离、相互制约；重大对外投资、资产处置、资金调度和其他重要经济业务事项的决策和执行的相互监督、相互制约程序应当明确；财产清查的范围、期限和组织程序应当明确；对会计资料定期进行内部审计的办法和程序应当明确。任何一项业务不能由一个人单独操作，必须由两个人以上来办理，而且经办人员只能在各自的职权范围内作出处理。这样就形成一个互相交叉、互相制约、互相检查的内部监督过程。要依据《会计法》和《内部会计控制规范》，结合有关部门对加强检察机关财务管理的要求，建立适合本单位业务特点和管理需要的内部会计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请你局于11月24日前将整改完成情况及印证资料报送至我局。</w:t>
      </w:r>
    </w:p>
    <w:p>
      <w:pPr>
        <w:keepNext w:val="0"/>
        <w:keepLines w:val="0"/>
        <w:pageBreakBefore w:val="0"/>
        <w:widowControl w:val="0"/>
        <w:kinsoku/>
        <w:wordWrap/>
        <w:overflowPunct/>
        <w:topLinePunct w:val="0"/>
        <w:autoSpaceDE/>
        <w:autoSpaceDN/>
        <w:bidi w:val="0"/>
        <w:adjustRightInd/>
        <w:snapToGrid/>
        <w:spacing w:line="560" w:lineRule="exact"/>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疏勒县财政局</w:t>
      </w:r>
    </w:p>
    <w:p>
      <w:pPr>
        <w:keepNext w:val="0"/>
        <w:keepLines w:val="0"/>
        <w:pageBreakBefore w:val="0"/>
        <w:kinsoku/>
        <w:wordWrap/>
        <w:overflowPunct/>
        <w:topLinePunct w:val="0"/>
        <w:autoSpaceDE/>
        <w:autoSpaceDN/>
        <w:bidi w:val="0"/>
        <w:spacing w:line="560" w:lineRule="exact"/>
        <w:ind w:firstLine="6080" w:firstLineChars="19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val="en-US" w:eastAsia="zh-CN"/>
        </w:rPr>
        <w:t>2023</w:t>
      </w:r>
      <w:r>
        <w:rPr>
          <w:rFonts w:hint="eastAsia" w:ascii="方正仿宋简体" w:hAnsi="方正仿宋简体" w:eastAsia="方正仿宋简体" w:cs="方正仿宋简体"/>
          <w:sz w:val="32"/>
          <w:szCs w:val="32"/>
          <w:highlight w:val="none"/>
        </w:rPr>
        <w:t>年</w:t>
      </w:r>
      <w:r>
        <w:rPr>
          <w:rFonts w:hint="eastAsia" w:ascii="方正仿宋简体" w:hAnsi="方正仿宋简体" w:eastAsia="方正仿宋简体" w:cs="方正仿宋简体"/>
          <w:sz w:val="32"/>
          <w:szCs w:val="32"/>
          <w:highlight w:val="none"/>
          <w:lang w:val="en-US" w:eastAsia="zh-CN"/>
        </w:rPr>
        <w:t>11</w:t>
      </w:r>
      <w:r>
        <w:rPr>
          <w:rFonts w:hint="eastAsia" w:ascii="方正仿宋简体" w:hAnsi="方正仿宋简体" w:eastAsia="方正仿宋简体" w:cs="方正仿宋简体"/>
          <w:sz w:val="32"/>
          <w:szCs w:val="32"/>
          <w:highlight w:val="none"/>
        </w:rPr>
        <w:t>月</w:t>
      </w:r>
      <w:r>
        <w:rPr>
          <w:rFonts w:hint="eastAsia" w:ascii="方正仿宋简体" w:hAnsi="方正仿宋简体" w:eastAsia="方正仿宋简体" w:cs="方正仿宋简体"/>
          <w:sz w:val="32"/>
          <w:szCs w:val="32"/>
          <w:highlight w:val="none"/>
          <w:lang w:val="en-US" w:eastAsia="zh-CN"/>
        </w:rPr>
        <w:t>9</w:t>
      </w:r>
      <w:r>
        <w:rPr>
          <w:rFonts w:hint="eastAsia" w:ascii="方正仿宋简体" w:hAnsi="方正仿宋简体" w:eastAsia="方正仿宋简体" w:cs="方正仿宋简体"/>
          <w:sz w:val="32"/>
          <w:szCs w:val="32"/>
          <w:highlight w:val="none"/>
        </w:rPr>
        <w:t>日</w:t>
      </w:r>
    </w:p>
    <w:p>
      <w:pPr>
        <w:keepNext w:val="0"/>
        <w:keepLines w:val="0"/>
        <w:pageBreakBefore w:val="0"/>
        <w:kinsoku/>
        <w:wordWrap/>
        <w:overflowPunct/>
        <w:topLinePunct w:val="0"/>
        <w:autoSpaceDE/>
        <w:autoSpaceDN/>
        <w:bidi w:val="0"/>
        <w:spacing w:line="560" w:lineRule="exact"/>
        <w:rPr>
          <w:rFonts w:hint="eastAsia" w:ascii="方正仿宋简体" w:hAnsi="方正仿宋简体" w:eastAsia="方正仿宋简体" w:cs="方正仿宋简体"/>
          <w:sz w:val="32"/>
          <w:szCs w:val="32"/>
          <w:highlight w:val="none"/>
        </w:rPr>
      </w:pPr>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兰米粗楷简体">
    <w:altName w:val="宋体"/>
    <w:panose1 w:val="02000503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１</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1A33B"/>
    <w:multiLevelType w:val="singleLevel"/>
    <w:tmpl w:val="F1E1A33B"/>
    <w:lvl w:ilvl="0" w:tentative="0">
      <w:start w:val="1"/>
      <w:numFmt w:val="decimal"/>
      <w:lvlText w:val="(%1)"/>
      <w:lvlJc w:val="left"/>
      <w:pPr>
        <w:ind w:left="425" w:hanging="425"/>
      </w:pPr>
      <w:rPr>
        <w:rFonts w:hint="default"/>
      </w:rPr>
    </w:lvl>
  </w:abstractNum>
  <w:abstractNum w:abstractNumId="1">
    <w:nsid w:val="0CDBAFA0"/>
    <w:multiLevelType w:val="singleLevel"/>
    <w:tmpl w:val="0CDBAFA0"/>
    <w:lvl w:ilvl="0" w:tentative="0">
      <w:start w:val="1"/>
      <w:numFmt w:val="decimal"/>
      <w:pStyle w:val="5"/>
      <w:lvlText w:val="%1."/>
      <w:lvlJc w:val="left"/>
      <w:pPr>
        <w:tabs>
          <w:tab w:val="left" w:pos="2040"/>
        </w:tabs>
        <w:ind w:left="2040" w:hanging="360"/>
      </w:pPr>
    </w:lvl>
  </w:abstractNum>
  <w:abstractNum w:abstractNumId="2">
    <w:nsid w:val="22704F47"/>
    <w:multiLevelType w:val="singleLevel"/>
    <w:tmpl w:val="22704F47"/>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k0YjJlYTAxNGI2M2U2YTFhMWUwNDVjNzRjODQifQ=="/>
  </w:docVars>
  <w:rsids>
    <w:rsidRoot w:val="3DB02AD3"/>
    <w:rsid w:val="05DB1FC7"/>
    <w:rsid w:val="1383654C"/>
    <w:rsid w:val="1A497C83"/>
    <w:rsid w:val="1D06645A"/>
    <w:rsid w:val="2F107C5C"/>
    <w:rsid w:val="33306A8C"/>
    <w:rsid w:val="37F05B8C"/>
    <w:rsid w:val="38743CBC"/>
    <w:rsid w:val="3B64270E"/>
    <w:rsid w:val="3C7B6ECA"/>
    <w:rsid w:val="3DB02AD3"/>
    <w:rsid w:val="417177FE"/>
    <w:rsid w:val="45474CB0"/>
    <w:rsid w:val="465F0D84"/>
    <w:rsid w:val="4E4D5283"/>
    <w:rsid w:val="52C8312A"/>
    <w:rsid w:val="5AD703AE"/>
    <w:rsid w:val="5B52378E"/>
    <w:rsid w:val="5C315425"/>
    <w:rsid w:val="5CE16FCF"/>
    <w:rsid w:val="6AF177BF"/>
    <w:rsid w:val="6EF00A9C"/>
    <w:rsid w:val="78EC1071"/>
    <w:rsid w:val="79AA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after="260" w:afterLines="0" w:line="416" w:lineRule="auto"/>
      <w:outlineLvl w:val="1"/>
    </w:pPr>
    <w:rPr>
      <w:rFonts w:hint="eastAsia" w:ascii="Cambria" w:hAnsi="Cambria"/>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00" w:firstLineChars="200"/>
    </w:pPr>
    <w:rPr>
      <w:rFonts w:ascii="仿宋_GB2312" w:hAnsi="Calibri" w:eastAsia="仿宋_GB2312" w:cs="宋体"/>
      <w:kern w:val="0"/>
      <w:sz w:val="30"/>
      <w:szCs w:val="24"/>
    </w:rPr>
  </w:style>
  <w:style w:type="paragraph" w:styleId="4">
    <w:name w:val="Plain Text"/>
    <w:basedOn w:val="1"/>
    <w:next w:val="5"/>
    <w:qFormat/>
    <w:uiPriority w:val="0"/>
    <w:rPr>
      <w:rFonts w:ascii="宋体" w:hAnsi="Courier New"/>
    </w:rPr>
  </w:style>
  <w:style w:type="paragraph" w:styleId="5">
    <w:name w:val="List Number 5"/>
    <w:basedOn w:val="1"/>
    <w:qFormat/>
    <w:uiPriority w:val="0"/>
    <w:pPr>
      <w:numPr>
        <w:ilvl w:val="0"/>
        <w:numId w:val="1"/>
      </w:numPr>
    </w:pPr>
  </w:style>
  <w:style w:type="paragraph" w:styleId="6">
    <w:name w:val="Body Text Indent 2"/>
    <w:basedOn w:val="1"/>
    <w:qFormat/>
    <w:uiPriority w:val="0"/>
    <w:pPr>
      <w:spacing w:before="50" w:beforeLines="0" w:after="50" w:afterLines="0"/>
      <w:ind w:firstLine="560"/>
    </w:pPr>
    <w:rPr>
      <w:rFonts w:eastAsia="仿宋_GB2312"/>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2"/>
    <w:basedOn w:val="3"/>
    <w:next w:val="4"/>
    <w:qFormat/>
    <w:uiPriority w:val="0"/>
    <w:pPr>
      <w:ind w:firstLine="200" w:firstLineChars="200"/>
    </w:pPr>
    <w:rPr>
      <w:rFonts w:ascii="Times New Roman" w:hAnsi="Times New Roman" w:eastAsia="宋体" w:cs="Times New Roman"/>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font11"/>
    <w:basedOn w:val="12"/>
    <w:qFormat/>
    <w:uiPriority w:val="0"/>
    <w:rPr>
      <w:rFonts w:hint="eastAsia" w:ascii="方正仿宋简体" w:hAnsi="方正仿宋简体" w:eastAsia="方正仿宋简体" w:cs="方正仿宋简体"/>
      <w:b/>
      <w:bCs/>
      <w:color w:val="000000"/>
      <w:sz w:val="18"/>
      <w:szCs w:val="18"/>
      <w:u w:val="none"/>
    </w:rPr>
  </w:style>
  <w:style w:type="character" w:customStyle="1" w:styleId="17">
    <w:name w:val="font21"/>
    <w:basedOn w:val="12"/>
    <w:qFormat/>
    <w:uiPriority w:val="0"/>
    <w:rPr>
      <w:rFonts w:hint="eastAsia" w:ascii="宋体" w:hAnsi="宋体" w:eastAsia="宋体" w:cs="宋体"/>
      <w:color w:val="000000"/>
      <w:sz w:val="21"/>
      <w:szCs w:val="21"/>
      <w:u w:val="none"/>
    </w:rPr>
  </w:style>
  <w:style w:type="character" w:customStyle="1" w:styleId="18">
    <w:name w:val="font31"/>
    <w:basedOn w:val="12"/>
    <w:qFormat/>
    <w:uiPriority w:val="0"/>
    <w:rPr>
      <w:rFonts w:hint="eastAsia" w:ascii="宋体" w:hAnsi="宋体" w:eastAsia="宋体" w:cs="宋体"/>
      <w:color w:val="000000"/>
      <w:sz w:val="21"/>
      <w:szCs w:val="21"/>
      <w:u w:val="none"/>
    </w:rPr>
  </w:style>
  <w:style w:type="paragraph" w:customStyle="1" w:styleId="19">
    <w:name w:val="faguicon_p"/>
    <w:basedOn w:val="1"/>
    <w:qFormat/>
    <w:uiPriority w:val="0"/>
    <w:pPr>
      <w:ind w:firstLine="480"/>
    </w:pPr>
    <w:rPr>
      <w:rFonts w:ascii="微软雅黑" w:hAnsi="微软雅黑" w:eastAsia="微软雅黑" w:cs="微软雅黑"/>
    </w:rPr>
  </w:style>
  <w:style w:type="character" w:customStyle="1" w:styleId="20">
    <w:name w:val="sect2title"/>
    <w:basedOn w:val="12"/>
    <w:qFormat/>
    <w:uiPriority w:val="0"/>
    <w:rPr>
      <w:rFonts w:ascii="微软雅黑" w:hAnsi="微软雅黑" w:eastAsia="微软雅黑" w:cs="微软雅黑"/>
      <w:b/>
      <w:bCs/>
      <w:sz w:val="26"/>
      <w:szCs w:val="26"/>
    </w:rPr>
  </w:style>
  <w:style w:type="character" w:customStyle="1" w:styleId="21">
    <w:name w:val="any"/>
    <w:basedOn w:val="12"/>
    <w:qFormat/>
    <w:uiPriority w:val="0"/>
  </w:style>
  <w:style w:type="character" w:customStyle="1" w:styleId="22">
    <w:name w:val="a_contentlink_link"/>
    <w:basedOn w:val="12"/>
    <w:qFormat/>
    <w:uiPriority w:val="0"/>
    <w:rPr>
      <w:rFonts w:ascii="微软雅黑" w:hAnsi="微软雅黑" w:eastAsia="微软雅黑" w:cs="微软雅黑"/>
      <w:color w:val="0000FF"/>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2023-10-19T03:34:00Z</dcterms:created>
  <dc:creator>原</dc:creator>
  <cp:lastModifiedBy>ablimit</cp:lastModifiedBy>
  <dcterms:modified xsi:type="dcterms:W3CDTF">2023-11-15T10:40:40Z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D87A065AC15F4C97A24F9E4F46B064B2_11</vt:lpwstr>
  </property>
</Properties>
</file>