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kinsoku/>
        <w:wordWrap/>
        <w:overflowPunct/>
        <w:topLinePunct w:val="0"/>
        <w:autoSpaceDE/>
        <w:autoSpaceDN/>
        <w:bidi w:val="0"/>
        <w:adjustRightInd/>
        <w:snapToGrid/>
        <w:spacing w:line="620" w:lineRule="exact"/>
        <w:ind w:left="40"/>
        <w:textAlignment w:val="auto"/>
        <w:rPr>
          <w:rFonts w:hint="default" w:ascii="Times New Roman" w:hAnsi="Times New Roman" w:cs="Times New Roman"/>
        </w:rPr>
      </w:pPr>
    </w:p>
    <w:p>
      <w:pPr>
        <w:pageBreakBefore w:val="0"/>
        <w:widowControl w:val="0"/>
        <w:kinsoku/>
        <w:wordWrap/>
        <w:overflowPunct/>
        <w:topLinePunct w:val="0"/>
        <w:autoSpaceDE/>
        <w:autoSpaceDN/>
        <w:bidi w:val="0"/>
        <w:adjustRightInd/>
        <w:snapToGrid/>
        <w:spacing w:line="620" w:lineRule="exact"/>
        <w:ind w:left="40"/>
        <w:jc w:val="center"/>
        <w:textAlignment w:val="auto"/>
        <w:rPr>
          <w:rFonts w:hint="default" w:ascii="Times New Roman" w:hAnsi="Times New Roman" w:eastAsia="方正小标宋_GBK" w:cs="Times New Roman"/>
          <w:b w:val="0"/>
          <w:bCs/>
          <w:w w:val="100"/>
          <w:sz w:val="48"/>
          <w:szCs w:val="48"/>
        </w:rPr>
      </w:pPr>
      <w:r>
        <w:rPr>
          <w:rFonts w:hint="default" w:ascii="Times New Roman" w:hAnsi="Times New Roman" w:eastAsia="方正小标宋_GBK" w:cs="Times New Roman"/>
          <w:b w:val="0"/>
          <w:bCs/>
          <w:w w:val="100"/>
          <w:sz w:val="48"/>
          <w:szCs w:val="48"/>
        </w:rPr>
        <w:t>疏勒县</w:t>
      </w:r>
      <w:r>
        <w:rPr>
          <w:rFonts w:hint="default" w:ascii="Times New Roman" w:hAnsi="Times New Roman" w:eastAsia="方正小标宋_GBK" w:cs="Times New Roman"/>
          <w:b w:val="0"/>
          <w:bCs/>
          <w:w w:val="100"/>
          <w:sz w:val="48"/>
          <w:szCs w:val="48"/>
          <w:lang w:eastAsia="zh-CN"/>
        </w:rPr>
        <w:t>巩固拓展脱贫攻坚成果同乡村振兴有效衔接</w:t>
      </w:r>
      <w:r>
        <w:rPr>
          <w:rFonts w:hint="default" w:ascii="Times New Roman" w:hAnsi="Times New Roman" w:eastAsia="方正小标宋_GBK" w:cs="Times New Roman"/>
          <w:b w:val="0"/>
          <w:bCs/>
          <w:w w:val="100"/>
          <w:sz w:val="48"/>
          <w:szCs w:val="48"/>
        </w:rPr>
        <w:t>第十四个五年规划</w:t>
      </w:r>
      <w:bookmarkStart w:id="196" w:name="_GoBack"/>
      <w:bookmarkEnd w:id="196"/>
    </w:p>
    <w:p>
      <w:pPr>
        <w:pageBreakBefore w:val="0"/>
        <w:widowControl w:val="0"/>
        <w:kinsoku/>
        <w:wordWrap/>
        <w:overflowPunct/>
        <w:topLinePunct w:val="0"/>
        <w:autoSpaceDE/>
        <w:autoSpaceDN/>
        <w:bidi w:val="0"/>
        <w:adjustRightInd/>
        <w:snapToGrid/>
        <w:spacing w:line="620" w:lineRule="exact"/>
        <w:ind w:left="40"/>
        <w:textAlignment w:val="auto"/>
        <w:rPr>
          <w:rFonts w:hint="default" w:ascii="Times New Roman" w:hAnsi="Times New Roman" w:cs="Times New Roman"/>
        </w:rPr>
      </w:pPr>
    </w:p>
    <w:p>
      <w:pPr>
        <w:pageBreakBefore w:val="0"/>
        <w:widowControl w:val="0"/>
        <w:kinsoku/>
        <w:wordWrap/>
        <w:overflowPunct/>
        <w:topLinePunct w:val="0"/>
        <w:autoSpaceDE/>
        <w:autoSpaceDN/>
        <w:bidi w:val="0"/>
        <w:adjustRightInd/>
        <w:snapToGrid/>
        <w:spacing w:line="620" w:lineRule="exact"/>
        <w:ind w:left="40"/>
        <w:textAlignment w:val="auto"/>
        <w:rPr>
          <w:rFonts w:hint="default" w:ascii="Times New Roman" w:hAnsi="Times New Roman" w:cs="Times New Roman"/>
        </w:rPr>
      </w:pPr>
    </w:p>
    <w:p>
      <w:pPr>
        <w:pageBreakBefore w:val="0"/>
        <w:widowControl w:val="0"/>
        <w:kinsoku/>
        <w:wordWrap/>
        <w:overflowPunct/>
        <w:topLinePunct w:val="0"/>
        <w:autoSpaceDE/>
        <w:autoSpaceDN/>
        <w:bidi w:val="0"/>
        <w:adjustRightInd/>
        <w:snapToGrid/>
        <w:spacing w:line="620" w:lineRule="exact"/>
        <w:ind w:left="40"/>
        <w:textAlignment w:val="auto"/>
        <w:rPr>
          <w:rFonts w:hint="default" w:ascii="Times New Roman" w:hAnsi="Times New Roman" w:cs="Times New Roman"/>
        </w:rPr>
      </w:pPr>
    </w:p>
    <w:p>
      <w:pPr>
        <w:pageBreakBefore w:val="0"/>
        <w:widowControl w:val="0"/>
        <w:kinsoku/>
        <w:wordWrap/>
        <w:overflowPunct/>
        <w:topLinePunct w:val="0"/>
        <w:autoSpaceDE/>
        <w:autoSpaceDN/>
        <w:bidi w:val="0"/>
        <w:adjustRightInd/>
        <w:snapToGrid/>
        <w:spacing w:line="620" w:lineRule="exact"/>
        <w:ind w:left="40"/>
        <w:textAlignment w:val="auto"/>
        <w:rPr>
          <w:rFonts w:hint="default" w:ascii="Times New Roman" w:hAnsi="Times New Roman" w:cs="Times New Roman"/>
        </w:rPr>
      </w:pPr>
    </w:p>
    <w:p>
      <w:pPr>
        <w:pStyle w:val="4"/>
        <w:pageBreakBefore w:val="0"/>
        <w:widowControl w:val="0"/>
        <w:kinsoku/>
        <w:wordWrap/>
        <w:overflowPunct/>
        <w:topLinePunct w:val="0"/>
        <w:autoSpaceDE/>
        <w:autoSpaceDN/>
        <w:bidi w:val="0"/>
        <w:adjustRightInd/>
        <w:snapToGrid/>
        <w:spacing w:line="620" w:lineRule="exact"/>
        <w:ind w:left="40" w:firstLine="600"/>
        <w:textAlignment w:val="auto"/>
        <w:rPr>
          <w:rFonts w:hint="default" w:ascii="Times New Roman" w:hAnsi="Times New Roman" w:cs="Times New Roman"/>
        </w:rPr>
      </w:pPr>
    </w:p>
    <w:p>
      <w:pPr>
        <w:pageBreakBefore w:val="0"/>
        <w:widowControl w:val="0"/>
        <w:kinsoku/>
        <w:wordWrap/>
        <w:overflowPunct/>
        <w:topLinePunct w:val="0"/>
        <w:autoSpaceDE/>
        <w:autoSpaceDN/>
        <w:bidi w:val="0"/>
        <w:adjustRightInd/>
        <w:snapToGrid/>
        <w:spacing w:line="620" w:lineRule="exact"/>
        <w:ind w:left="40"/>
        <w:textAlignment w:val="auto"/>
        <w:rPr>
          <w:rFonts w:hint="default" w:ascii="Times New Roman" w:hAnsi="Times New Roman" w:cs="Times New Roman"/>
        </w:rPr>
      </w:pPr>
    </w:p>
    <w:p>
      <w:pPr>
        <w:pStyle w:val="4"/>
        <w:pageBreakBefore w:val="0"/>
        <w:widowControl w:val="0"/>
        <w:kinsoku/>
        <w:wordWrap/>
        <w:overflowPunct/>
        <w:topLinePunct w:val="0"/>
        <w:autoSpaceDE/>
        <w:autoSpaceDN/>
        <w:bidi w:val="0"/>
        <w:adjustRightInd/>
        <w:snapToGrid/>
        <w:spacing w:line="620" w:lineRule="exact"/>
        <w:ind w:left="40" w:firstLine="600"/>
        <w:textAlignment w:val="auto"/>
        <w:rPr>
          <w:rFonts w:hint="default" w:ascii="Times New Roman" w:hAnsi="Times New Roman" w:cs="Times New Roman"/>
        </w:rPr>
      </w:pPr>
    </w:p>
    <w:p>
      <w:pPr>
        <w:pageBreakBefore w:val="0"/>
        <w:widowControl w:val="0"/>
        <w:kinsoku/>
        <w:wordWrap/>
        <w:overflowPunct/>
        <w:topLinePunct w:val="0"/>
        <w:autoSpaceDE/>
        <w:autoSpaceDN/>
        <w:bidi w:val="0"/>
        <w:adjustRightInd/>
        <w:snapToGrid/>
        <w:spacing w:line="620" w:lineRule="exact"/>
        <w:ind w:left="40"/>
        <w:textAlignment w:val="auto"/>
        <w:rPr>
          <w:rFonts w:hint="default" w:ascii="Times New Roman" w:hAnsi="Times New Roman" w:cs="Times New Roman"/>
        </w:rPr>
      </w:pPr>
    </w:p>
    <w:p>
      <w:pPr>
        <w:pageBreakBefore w:val="0"/>
        <w:widowControl w:val="0"/>
        <w:kinsoku/>
        <w:wordWrap/>
        <w:overflowPunct/>
        <w:topLinePunct w:val="0"/>
        <w:autoSpaceDE/>
        <w:autoSpaceDN/>
        <w:bidi w:val="0"/>
        <w:adjustRightInd/>
        <w:snapToGrid/>
        <w:spacing w:line="620" w:lineRule="exact"/>
        <w:ind w:left="40"/>
        <w:textAlignment w:val="auto"/>
        <w:rPr>
          <w:rFonts w:hint="default" w:ascii="Times New Roman" w:hAnsi="Times New Roman" w:cs="Times New Roman"/>
        </w:rPr>
      </w:pPr>
    </w:p>
    <w:p>
      <w:pPr>
        <w:pageBreakBefore w:val="0"/>
        <w:widowControl w:val="0"/>
        <w:kinsoku/>
        <w:wordWrap/>
        <w:overflowPunct/>
        <w:topLinePunct w:val="0"/>
        <w:autoSpaceDE/>
        <w:autoSpaceDN/>
        <w:bidi w:val="0"/>
        <w:adjustRightInd/>
        <w:snapToGrid/>
        <w:spacing w:line="620" w:lineRule="exact"/>
        <w:ind w:left="40"/>
        <w:textAlignment w:val="auto"/>
        <w:rPr>
          <w:rFonts w:hint="default" w:ascii="Times New Roman" w:hAnsi="Times New Roman" w:cs="Times New Roman"/>
        </w:rPr>
      </w:pPr>
    </w:p>
    <w:p>
      <w:pPr>
        <w:pageBreakBefore w:val="0"/>
        <w:widowControl w:val="0"/>
        <w:kinsoku/>
        <w:wordWrap/>
        <w:overflowPunct/>
        <w:topLinePunct w:val="0"/>
        <w:autoSpaceDE/>
        <w:autoSpaceDN/>
        <w:bidi w:val="0"/>
        <w:adjustRightInd/>
        <w:snapToGrid/>
        <w:spacing w:line="620" w:lineRule="exact"/>
        <w:ind w:left="40"/>
        <w:jc w:val="center"/>
        <w:textAlignment w:val="auto"/>
        <w:rPr>
          <w:rFonts w:hint="default" w:ascii="Times New Roman" w:hAnsi="Times New Roman" w:eastAsia="楷体" w:cs="Times New Roman"/>
          <w:b w:val="0"/>
          <w:bCs/>
          <w:w w:val="98"/>
          <w:sz w:val="32"/>
          <w:szCs w:val="32"/>
          <w:lang w:eastAsia="zh-CN"/>
        </w:rPr>
      </w:pPr>
      <w:r>
        <w:rPr>
          <w:rFonts w:hint="default" w:ascii="Times New Roman" w:hAnsi="Times New Roman" w:eastAsia="楷体" w:cs="Times New Roman"/>
          <w:b w:val="0"/>
          <w:bCs/>
          <w:w w:val="98"/>
          <w:sz w:val="32"/>
          <w:szCs w:val="32"/>
          <w:lang w:eastAsia="zh-CN"/>
        </w:rPr>
        <w:t>中共疏勒县委员会农村工作领导小组暨乡村振兴领导小组办公室</w:t>
      </w:r>
    </w:p>
    <w:p>
      <w:pPr>
        <w:pageBreakBefore w:val="0"/>
        <w:widowControl w:val="0"/>
        <w:kinsoku/>
        <w:wordWrap/>
        <w:overflowPunct/>
        <w:topLinePunct w:val="0"/>
        <w:autoSpaceDE/>
        <w:autoSpaceDN/>
        <w:bidi w:val="0"/>
        <w:adjustRightInd/>
        <w:snapToGrid/>
        <w:spacing w:line="620" w:lineRule="exact"/>
        <w:ind w:left="40"/>
        <w:jc w:val="center"/>
        <w:textAlignment w:val="auto"/>
        <w:rPr>
          <w:rFonts w:hint="default" w:ascii="Times New Roman" w:hAnsi="Times New Roman" w:eastAsia="楷体" w:cs="Times New Roman"/>
          <w:b w:val="0"/>
          <w:bCs/>
          <w:sz w:val="32"/>
          <w:szCs w:val="32"/>
        </w:rPr>
      </w:pPr>
      <w:r>
        <w:rPr>
          <w:rFonts w:hint="default" w:ascii="Times New Roman" w:hAnsi="Times New Roman" w:eastAsia="楷体" w:cs="Times New Roman"/>
          <w:b w:val="0"/>
          <w:bCs/>
          <w:sz w:val="32"/>
          <w:szCs w:val="32"/>
        </w:rPr>
        <w:t>二</w:t>
      </w:r>
      <w:r>
        <w:rPr>
          <w:rFonts w:hint="default" w:ascii="Times New Roman" w:hAnsi="Times New Roman" w:eastAsia="楷体" w:cs="Times New Roman"/>
          <w:b w:val="0"/>
          <w:bCs/>
          <w:sz w:val="32"/>
          <w:szCs w:val="32"/>
          <w:lang w:eastAsia="zh-CN"/>
        </w:rPr>
        <w:t>〇</w:t>
      </w:r>
      <w:r>
        <w:rPr>
          <w:rFonts w:hint="default" w:ascii="Times New Roman" w:hAnsi="Times New Roman" w:eastAsia="楷体" w:cs="Times New Roman"/>
          <w:b w:val="0"/>
          <w:bCs/>
          <w:sz w:val="32"/>
          <w:szCs w:val="32"/>
        </w:rPr>
        <w:t>二</w:t>
      </w:r>
      <w:r>
        <w:rPr>
          <w:rFonts w:hint="default" w:ascii="Times New Roman" w:hAnsi="Times New Roman" w:eastAsia="楷体" w:cs="Times New Roman"/>
          <w:b w:val="0"/>
          <w:bCs/>
          <w:sz w:val="32"/>
          <w:szCs w:val="32"/>
          <w:lang w:eastAsia="zh-CN"/>
        </w:rPr>
        <w:t>二</w:t>
      </w:r>
      <w:r>
        <w:rPr>
          <w:rFonts w:hint="default" w:ascii="Times New Roman" w:hAnsi="Times New Roman" w:eastAsia="楷体" w:cs="Times New Roman"/>
          <w:b w:val="0"/>
          <w:bCs/>
          <w:sz w:val="32"/>
          <w:szCs w:val="32"/>
        </w:rPr>
        <w:t>年</w:t>
      </w:r>
      <w:r>
        <w:rPr>
          <w:rFonts w:hint="default" w:ascii="Times New Roman" w:hAnsi="Times New Roman" w:eastAsia="楷体" w:cs="Times New Roman"/>
          <w:b w:val="0"/>
          <w:bCs/>
          <w:sz w:val="32"/>
          <w:szCs w:val="32"/>
          <w:lang w:eastAsia="zh-CN"/>
        </w:rPr>
        <w:t>九</w:t>
      </w:r>
      <w:r>
        <w:rPr>
          <w:rFonts w:hint="default" w:ascii="Times New Roman" w:hAnsi="Times New Roman" w:eastAsia="楷体" w:cs="Times New Roman"/>
          <w:b w:val="0"/>
          <w:bCs/>
          <w:sz w:val="32"/>
          <w:szCs w:val="32"/>
        </w:rPr>
        <w:t>月</w:t>
      </w:r>
    </w:p>
    <w:p>
      <w:pPr>
        <w:pageBreakBefore w:val="0"/>
        <w:widowControl w:val="0"/>
        <w:kinsoku/>
        <w:wordWrap/>
        <w:overflowPunct/>
        <w:topLinePunct w:val="0"/>
        <w:autoSpaceDE/>
        <w:autoSpaceDN/>
        <w:bidi w:val="0"/>
        <w:adjustRightInd/>
        <w:snapToGrid/>
        <w:spacing w:line="620" w:lineRule="exact"/>
        <w:ind w:left="40"/>
        <w:jc w:val="center"/>
        <w:textAlignment w:val="auto"/>
        <w:rPr>
          <w:rFonts w:hint="default" w:ascii="Times New Roman" w:hAnsi="Times New Roman" w:eastAsia="楷体" w:cs="Times New Roman"/>
          <w:b w:val="0"/>
          <w:bCs/>
          <w:sz w:val="32"/>
          <w:szCs w:val="32"/>
        </w:rPr>
      </w:pPr>
    </w:p>
    <w:p>
      <w:pPr>
        <w:pageBreakBefore w:val="0"/>
        <w:widowControl w:val="0"/>
        <w:kinsoku/>
        <w:wordWrap/>
        <w:overflowPunct/>
        <w:topLinePunct w:val="0"/>
        <w:autoSpaceDE/>
        <w:autoSpaceDN/>
        <w:bidi w:val="0"/>
        <w:adjustRightInd/>
        <w:snapToGrid/>
        <w:spacing w:line="620" w:lineRule="exact"/>
        <w:ind w:left="40"/>
        <w:jc w:val="center"/>
        <w:textAlignment w:val="auto"/>
        <w:rPr>
          <w:rFonts w:hint="default" w:ascii="Times New Roman" w:hAnsi="Times New Roman" w:eastAsia="楷体" w:cs="Times New Roman"/>
          <w:b w:val="0"/>
          <w:bCs/>
          <w:sz w:val="32"/>
          <w:szCs w:val="32"/>
        </w:rPr>
      </w:pPr>
    </w:p>
    <w:p>
      <w:pPr>
        <w:pageBreakBefore w:val="0"/>
        <w:widowControl w:val="0"/>
        <w:kinsoku/>
        <w:wordWrap/>
        <w:topLinePunct w:val="0"/>
        <w:autoSpaceDE/>
        <w:autoSpaceDN/>
        <w:bidi w:val="0"/>
        <w:spacing w:line="620" w:lineRule="exact"/>
        <w:jc w:val="center"/>
        <w:textAlignment w:val="auto"/>
        <w:rPr>
          <w:rFonts w:hint="default" w:ascii="Times New Roman" w:hAnsi="Times New Roman" w:eastAsia="楷体" w:cs="Times New Roman"/>
          <w:b w:val="0"/>
          <w:bCs/>
          <w:sz w:val="32"/>
          <w:szCs w:val="32"/>
        </w:rPr>
        <w:sectPr>
          <w:pgSz w:w="11906" w:h="16838"/>
          <w:pgMar w:top="2098" w:right="1531" w:bottom="1984" w:left="1531" w:header="851" w:footer="992" w:gutter="0"/>
          <w:pgNumType w:fmt="numberInDash"/>
          <w:cols w:space="425" w:num="1"/>
          <w:docGrid w:type="lines" w:linePitch="312" w:charSpace="0"/>
        </w:sectPr>
      </w:pPr>
    </w:p>
    <w:p>
      <w:pPr>
        <w:pStyle w:val="2"/>
        <w:pageBreakBefore w:val="0"/>
        <w:widowControl w:val="0"/>
        <w:kinsoku/>
        <w:wordWrap/>
        <w:topLinePunct w:val="0"/>
        <w:autoSpaceDE/>
        <w:autoSpaceDN/>
        <w:bidi w:val="0"/>
        <w:spacing w:line="620" w:lineRule="exact"/>
        <w:jc w:val="center"/>
        <w:textAlignment w:val="auto"/>
        <w:rPr>
          <w:rFonts w:hint="default" w:ascii="Times New Roman" w:hAnsi="Times New Roman" w:eastAsia="黑体" w:cs="Times New Roman"/>
          <w:sz w:val="36"/>
          <w:szCs w:val="36"/>
        </w:rPr>
      </w:pPr>
      <w:bookmarkStart w:id="0" w:name="_Toc10608"/>
      <w:bookmarkStart w:id="1" w:name="_Toc14207"/>
      <w:r>
        <w:rPr>
          <w:rFonts w:hint="default" w:ascii="Times New Roman" w:hAnsi="Times New Roman" w:eastAsia="黑体" w:cs="Times New Roman"/>
          <w:sz w:val="36"/>
          <w:szCs w:val="36"/>
        </w:rPr>
        <w:t>前  言</w:t>
      </w:r>
      <w:bookmarkEnd w:id="0"/>
      <w:bookmarkEnd w:id="1"/>
    </w:p>
    <w:p>
      <w:pPr>
        <w:pageBreakBefore w:val="0"/>
        <w:widowControl w:val="0"/>
        <w:kinsoku/>
        <w:wordWrap/>
        <w:overflowPunct/>
        <w:topLinePunct w:val="0"/>
        <w:autoSpaceDE/>
        <w:autoSpaceDN/>
        <w:bidi w:val="0"/>
        <w:spacing w:line="620" w:lineRule="exact"/>
        <w:ind w:left="40" w:firstLine="640" w:firstLineChars="20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十四五”时期，是全面建成小康社会、实现第一个百年奋斗目标后，乘势而上开启全面建设社会主义现代化国家新征程、向第二个百年奋斗目标进军的第一个五年。党的十九大提出实施乡村振兴战略，是决胜全面建成小康社会、全面建设社会主义现代化国家的重大历史任务，是中国特色社会主义进入新时代做好“三农”工作的总抓手。对</w:t>
      </w:r>
      <w:r>
        <w:rPr>
          <w:rFonts w:hint="default" w:ascii="Times New Roman" w:hAnsi="Times New Roman" w:eastAsia="方正仿宋_GBK" w:cs="Times New Roman"/>
          <w:sz w:val="32"/>
          <w:szCs w:val="32"/>
        </w:rPr>
        <w:t>疏勒县巩固拓展脱贫攻坚成果同乡村振兴</w:t>
      </w:r>
      <w:r>
        <w:rPr>
          <w:rFonts w:hint="default" w:ascii="Times New Roman" w:hAnsi="Times New Roman" w:eastAsia="方正仿宋_GBK" w:cs="Times New Roman"/>
          <w:sz w:val="32"/>
          <w:szCs w:val="32"/>
          <w:lang w:eastAsia="zh-CN"/>
        </w:rPr>
        <w:t>有效衔接</w:t>
      </w:r>
      <w:r>
        <w:rPr>
          <w:rFonts w:hint="default" w:ascii="Times New Roman" w:hAnsi="Times New Roman" w:eastAsia="方正仿宋_GBK" w:cs="Times New Roman"/>
          <w:sz w:val="32"/>
          <w:szCs w:val="32"/>
          <w:lang w:val="zh-CN"/>
        </w:rPr>
        <w:t>来说，“十四五”时期，要坚持和加强党对“三农”工作的全面领导，牢牢守住保障国家粮食安全和不发生规模性返贫两条底线，突出年度性任务、针对性举措、实效性导向，充分发挥农村基层党组织领导作用，扎实有序做好乡村发展、乡村建设、乡村治理重点工作，推动乡村振兴取得新进展、农业农村现代化迈出新步伐。坚持以人民为中心，科学编制</w:t>
      </w:r>
      <w:r>
        <w:rPr>
          <w:rFonts w:hint="default" w:ascii="Times New Roman" w:hAnsi="Times New Roman" w:eastAsia="方正仿宋_GBK" w:cs="Times New Roman"/>
          <w:sz w:val="32"/>
          <w:szCs w:val="32"/>
        </w:rPr>
        <w:t>疏勒</w:t>
      </w:r>
      <w:r>
        <w:rPr>
          <w:rFonts w:hint="default" w:ascii="Times New Roman" w:hAnsi="Times New Roman" w:eastAsia="方正仿宋_GBK" w:cs="Times New Roman"/>
          <w:sz w:val="32"/>
          <w:szCs w:val="32"/>
          <w:lang w:val="zh-CN"/>
        </w:rPr>
        <w:t>县“十四五”巩固拓展脱贫攻坚成果同乡村振兴有效衔接规划，对新时期全面推动</w:t>
      </w:r>
      <w:r>
        <w:rPr>
          <w:rFonts w:hint="default" w:ascii="Times New Roman" w:hAnsi="Times New Roman" w:eastAsia="方正仿宋_GBK" w:cs="Times New Roman"/>
          <w:sz w:val="32"/>
          <w:szCs w:val="32"/>
        </w:rPr>
        <w:t>疏勒</w:t>
      </w:r>
      <w:r>
        <w:rPr>
          <w:rFonts w:hint="default" w:ascii="Times New Roman" w:hAnsi="Times New Roman" w:eastAsia="方正仿宋_GBK" w:cs="Times New Roman"/>
          <w:sz w:val="32"/>
          <w:szCs w:val="32"/>
          <w:lang w:val="zh-CN"/>
        </w:rPr>
        <w:t>县乡村振兴重点工作具有继往开来的里程碑意义，是指导</w:t>
      </w:r>
      <w:r>
        <w:rPr>
          <w:rFonts w:hint="default" w:ascii="Times New Roman" w:hAnsi="Times New Roman" w:eastAsia="方正仿宋_GBK" w:cs="Times New Roman"/>
          <w:sz w:val="32"/>
          <w:szCs w:val="32"/>
        </w:rPr>
        <w:t>疏勒县</w:t>
      </w:r>
      <w:r>
        <w:rPr>
          <w:rFonts w:hint="default" w:ascii="Times New Roman" w:hAnsi="Times New Roman" w:eastAsia="方正仿宋_GBK" w:cs="Times New Roman"/>
          <w:sz w:val="32"/>
          <w:szCs w:val="32"/>
          <w:lang w:val="zh-CN"/>
        </w:rPr>
        <w:t>未来五年的宏伟蓝图，也是政府履行职责的重要依据，更是全县各族人民共同奋斗的行动纲领。</w:t>
      </w:r>
    </w:p>
    <w:p>
      <w:pPr>
        <w:pageBreakBefore w:val="0"/>
        <w:widowControl w:val="0"/>
        <w:kinsoku/>
        <w:wordWrap/>
        <w:overflowPunct/>
        <w:topLinePunct w:val="0"/>
        <w:autoSpaceDE/>
        <w:autoSpaceDN/>
        <w:bidi w:val="0"/>
        <w:spacing w:line="620" w:lineRule="exact"/>
        <w:ind w:left="40" w:firstLine="640" w:firstLineChars="20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本《规划》以20</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zh-CN"/>
        </w:rPr>
        <w:t>年为基准年，重点规划20</w:t>
      </w:r>
      <w:r>
        <w:rPr>
          <w:rFonts w:hint="default" w:ascii="Times New Roman" w:hAnsi="Times New Roman" w:eastAsia="方正仿宋_GBK" w:cs="Times New Roman"/>
          <w:sz w:val="32"/>
          <w:szCs w:val="32"/>
        </w:rPr>
        <w:t>21</w:t>
      </w:r>
      <w:r>
        <w:rPr>
          <w:rFonts w:hint="default" w:ascii="Times New Roman" w:hAnsi="Times New Roman" w:eastAsia="方正仿宋_GBK" w:cs="Times New Roman"/>
          <w:sz w:val="32"/>
          <w:szCs w:val="32"/>
          <w:lang w:val="zh-CN"/>
        </w:rPr>
        <w:t>—202</w:t>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lang w:val="zh-CN"/>
        </w:rPr>
        <w:t>年。</w:t>
      </w:r>
    </w:p>
    <w:p>
      <w:pPr>
        <w:pStyle w:val="2"/>
        <w:pageBreakBefore w:val="0"/>
        <w:widowControl w:val="0"/>
        <w:kinsoku/>
        <w:wordWrap/>
        <w:topLinePunct w:val="0"/>
        <w:autoSpaceDE/>
        <w:autoSpaceDN/>
        <w:bidi w:val="0"/>
        <w:spacing w:line="620" w:lineRule="exact"/>
        <w:textAlignment w:val="auto"/>
        <w:rPr>
          <w:rFonts w:hint="default" w:ascii="Times New Roman" w:hAnsi="Times New Roman" w:eastAsia="黑体" w:cs="Times New Roman"/>
          <w:sz w:val="36"/>
          <w:szCs w:val="36"/>
        </w:rPr>
      </w:pPr>
      <w:r>
        <w:rPr>
          <w:rFonts w:hint="default" w:ascii="Times New Roman" w:hAnsi="Times New Roman" w:cs="Times New Roman"/>
          <w:lang w:val="zh-CN"/>
        </w:rPr>
        <w:br w:type="page"/>
      </w:r>
      <w:bookmarkStart w:id="2" w:name="_Toc25399"/>
      <w:bookmarkStart w:id="3" w:name="_Toc19173"/>
      <w:bookmarkStart w:id="4" w:name="_Toc20825"/>
      <w:r>
        <w:rPr>
          <w:rFonts w:hint="default" w:ascii="Times New Roman" w:hAnsi="Times New Roman" w:eastAsia="黑体" w:cs="Times New Roman"/>
          <w:sz w:val="36"/>
          <w:szCs w:val="36"/>
        </w:rPr>
        <w:t>第一篇 审时度势 把握发展新机遇</w:t>
      </w:r>
      <w:bookmarkEnd w:id="2"/>
      <w:bookmarkEnd w:id="3"/>
      <w:bookmarkEnd w:id="4"/>
      <w:bookmarkStart w:id="5" w:name="_Toc20569"/>
      <w:bookmarkStart w:id="6" w:name="_Toc18206"/>
      <w:bookmarkStart w:id="7" w:name="_Toc4620"/>
      <w:bookmarkStart w:id="8" w:name="_Toc15783"/>
      <w:bookmarkStart w:id="9" w:name="_Toc22746"/>
      <w:bookmarkStart w:id="10" w:name="_Toc15255"/>
      <w:bookmarkStart w:id="11" w:name="_Toc3568"/>
      <w:bookmarkStart w:id="12" w:name="_Toc21977"/>
    </w:p>
    <w:bookmarkEnd w:id="5"/>
    <w:bookmarkEnd w:id="6"/>
    <w:bookmarkEnd w:id="7"/>
    <w:bookmarkEnd w:id="8"/>
    <w:bookmarkEnd w:id="9"/>
    <w:bookmarkEnd w:id="10"/>
    <w:p>
      <w:pPr>
        <w:pStyle w:val="3"/>
        <w:pageBreakBefore w:val="0"/>
        <w:widowControl w:val="0"/>
        <w:kinsoku/>
        <w:wordWrap/>
        <w:topLinePunct w:val="0"/>
        <w:autoSpaceDE/>
        <w:autoSpaceDN/>
        <w:bidi w:val="0"/>
        <w:spacing w:line="620" w:lineRule="exact"/>
        <w:textAlignment w:val="auto"/>
        <w:rPr>
          <w:rFonts w:hint="default" w:ascii="Times New Roman" w:hAnsi="Times New Roman" w:cs="Times New Roman"/>
        </w:rPr>
      </w:pPr>
      <w:bookmarkStart w:id="13" w:name="_Toc15772"/>
      <w:r>
        <w:rPr>
          <w:rFonts w:hint="default" w:ascii="Times New Roman" w:hAnsi="Times New Roman" w:cs="Times New Roman"/>
          <w:lang w:eastAsia="zh-CN"/>
        </w:rPr>
        <w:t>第一章</w:t>
      </w:r>
      <w:r>
        <w:rPr>
          <w:rFonts w:hint="default" w:ascii="Times New Roman" w:hAnsi="Times New Roman" w:cs="Times New Roman"/>
          <w:lang w:val="en-US" w:eastAsia="zh-CN"/>
        </w:rPr>
        <w:t xml:space="preserve"> </w:t>
      </w:r>
      <w:r>
        <w:rPr>
          <w:rFonts w:hint="default" w:ascii="Times New Roman" w:hAnsi="Times New Roman" w:cs="Times New Roman"/>
        </w:rPr>
        <w:t>“十三五”发展成就</w:t>
      </w:r>
      <w:bookmarkEnd w:id="11"/>
      <w:bookmarkEnd w:id="12"/>
      <w:bookmarkEnd w:id="13"/>
    </w:p>
    <w:p>
      <w:pPr>
        <w:pageBreakBefore w:val="0"/>
        <w:widowControl w:val="0"/>
        <w:numPr>
          <w:ilvl w:val="0"/>
          <w:numId w:val="0"/>
        </w:numPr>
        <w:kinsoku/>
        <w:wordWrap/>
        <w:topLinePunct w:val="0"/>
        <w:autoSpaceDE/>
        <w:autoSpaceDN/>
        <w:bidi w:val="0"/>
        <w:spacing w:line="620" w:lineRule="exact"/>
        <w:jc w:val="both"/>
        <w:textAlignment w:val="auto"/>
        <w:rPr>
          <w:rFonts w:hint="default" w:ascii="Times New Roman" w:hAnsi="Times New Roman" w:cs="Times New Roman"/>
        </w:rPr>
      </w:pPr>
    </w:p>
    <w:p>
      <w:pPr>
        <w:pageBreakBefore w:val="0"/>
        <w:widowControl w:val="0"/>
        <w:kinsoku/>
        <w:wordWrap/>
        <w:overflowPunct/>
        <w:topLinePunct w:val="0"/>
        <w:autoSpaceDE/>
        <w:autoSpaceDN/>
        <w:bidi w:val="0"/>
        <w:spacing w:line="620" w:lineRule="exact"/>
        <w:ind w:left="40"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疏勒县位于新疆西南部，是喀什一市两县重要一翼，承接喀什地区南7县的重要交通枢纽，地处“一路连欧亚、五口通八国”中心位置，是“一带一路”核心区的重要节点，素有“黄金走廊”之称。疏勒以古西域国名冠名，是古疏勒国一部分，是闻名全国的“双拥模范县城”。</w:t>
      </w:r>
      <w:r>
        <w:rPr>
          <w:rFonts w:hint="default" w:ascii="Times New Roman" w:hAnsi="Times New Roman" w:eastAsia="方正仿宋_GBK" w:cs="Times New Roman"/>
          <w:bCs/>
          <w:sz w:val="32"/>
          <w:szCs w:val="32"/>
        </w:rPr>
        <w:t>全县总面积2398平方公里，辖3镇12乡、2个农林场、22</w:t>
      </w:r>
      <w:r>
        <w:rPr>
          <w:rFonts w:hint="default" w:ascii="Times New Roman" w:hAnsi="Times New Roman" w:eastAsia="方正仿宋_GBK" w:cs="Times New Roman"/>
          <w:bCs/>
          <w:sz w:val="32"/>
          <w:szCs w:val="32"/>
          <w:lang w:val="en-US" w:eastAsia="zh-CN"/>
        </w:rPr>
        <w:t>8</w:t>
      </w:r>
      <w:r>
        <w:rPr>
          <w:rFonts w:hint="default" w:ascii="Times New Roman" w:hAnsi="Times New Roman" w:eastAsia="方正仿宋_GBK" w:cs="Times New Roman"/>
          <w:bCs/>
          <w:sz w:val="32"/>
          <w:szCs w:val="32"/>
        </w:rPr>
        <w:t>个行政村、21个社区。</w:t>
      </w:r>
    </w:p>
    <w:p>
      <w:pPr>
        <w:pageBreakBefore w:val="0"/>
        <w:widowControl w:val="0"/>
        <w:kinsoku/>
        <w:wordWrap/>
        <w:overflowPunct/>
        <w:topLinePunct w:val="0"/>
        <w:autoSpaceDE/>
        <w:autoSpaceDN/>
        <w:bidi w:val="0"/>
        <w:spacing w:line="620" w:lineRule="exact"/>
        <w:ind w:left="40" w:firstLine="640" w:firstLineChars="200"/>
        <w:jc w:val="both"/>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“十三五”期间，在县委、县人民政府的坚强领导下，全县各族干部群众</w:t>
      </w:r>
      <w:r>
        <w:rPr>
          <w:rFonts w:hint="default" w:ascii="Times New Roman" w:hAnsi="Times New Roman" w:eastAsia="方正仿宋_GBK" w:cs="Times New Roman"/>
          <w:sz w:val="32"/>
          <w:szCs w:val="32"/>
        </w:rPr>
        <w:t>深入贯彻落实党的十九大和十九届历次全会精神，</w:t>
      </w:r>
      <w:r>
        <w:rPr>
          <w:rFonts w:hint="default" w:ascii="Times New Roman" w:hAnsi="Times New Roman" w:eastAsia="方正仿宋_GBK" w:cs="Times New Roman"/>
          <w:sz w:val="32"/>
          <w:szCs w:val="32"/>
          <w:lang w:val="en-US" w:eastAsia="zh-CN"/>
        </w:rPr>
        <w:t>贯彻落实中央经济工作会议、中央农村工作会议和第三次新疆工作座谈会精神，</w:t>
      </w:r>
      <w:r>
        <w:rPr>
          <w:rFonts w:hint="default" w:ascii="Times New Roman" w:hAnsi="Times New Roman" w:eastAsia="方正仿宋_GBK" w:cs="Times New Roman"/>
          <w:sz w:val="32"/>
          <w:szCs w:val="32"/>
        </w:rPr>
        <w:t>贯彻落实习近平总书记关于“三农”工作和巩固拓展脱贫攻坚成果同乡村振兴有效衔接工作的重要讲话精神，</w:t>
      </w:r>
      <w:r>
        <w:rPr>
          <w:rFonts w:hint="default" w:ascii="Times New Roman" w:hAnsi="Times New Roman" w:eastAsia="方正仿宋_GBK" w:cs="Times New Roman"/>
          <w:sz w:val="32"/>
          <w:szCs w:val="32"/>
          <w:lang w:val="en-US" w:eastAsia="zh-CN"/>
        </w:rPr>
        <w:t>坚持稳中求进工作总基调</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Cs/>
          <w:sz w:val="32"/>
          <w:szCs w:val="32"/>
        </w:rPr>
        <w:t>按照党中央“六个精准”“五个一批”、自治区党委“七个一批”“三个加大力度”、地委“十大工程”“五个全覆盖”工作要求，瞄准靶心、聚力攻坚，补短板强弱项，堵漏洞强基础，脱贫攻坚工作取得了实质性成效</w:t>
      </w:r>
      <w:r>
        <w:rPr>
          <w:rFonts w:hint="default" w:ascii="Times New Roman" w:hAnsi="Times New Roman" w:eastAsia="方正仿宋_GBK" w:cs="Times New Roman"/>
          <w:sz w:val="32"/>
          <w:szCs w:val="32"/>
          <w:lang w:val="zh-CN"/>
        </w:rPr>
        <w:t>，2014至2020年，全县154个贫困村退出，贫困发生率降至0%，2019年实现了贫困县摘帽，2020年与全国人民同步进入小康社会，为基本实现五年规划目标打下了坚实基础。</w:t>
      </w:r>
    </w:p>
    <w:p>
      <w:pPr>
        <w:pageBreakBefore w:val="0"/>
        <w:widowControl w:val="0"/>
        <w:kinsoku/>
        <w:wordWrap/>
        <w:overflowPunct/>
        <w:topLinePunct w:val="0"/>
        <w:autoSpaceDE/>
        <w:autoSpaceDN/>
        <w:bidi w:val="0"/>
        <w:spacing w:line="620" w:lineRule="exact"/>
        <w:ind w:left="40" w:firstLine="640" w:firstLineChars="200"/>
        <w:jc w:val="both"/>
        <w:textAlignment w:val="auto"/>
        <w:rPr>
          <w:rFonts w:hint="default" w:ascii="Times New Roman" w:hAnsi="Times New Roman" w:eastAsia="方正仿宋_GBK" w:cs="Times New Roman"/>
          <w:sz w:val="32"/>
          <w:szCs w:val="32"/>
          <w:lang w:val="zh-CN"/>
        </w:rPr>
      </w:pPr>
    </w:p>
    <w:p>
      <w:pPr>
        <w:pStyle w:val="3"/>
        <w:pageBreakBefore w:val="0"/>
        <w:widowControl w:val="0"/>
        <w:kinsoku/>
        <w:wordWrap/>
        <w:topLinePunct w:val="0"/>
        <w:autoSpaceDE/>
        <w:autoSpaceDN/>
        <w:bidi w:val="0"/>
        <w:spacing w:line="620" w:lineRule="exact"/>
        <w:textAlignment w:val="auto"/>
        <w:rPr>
          <w:rFonts w:hint="default" w:ascii="Times New Roman" w:hAnsi="Times New Roman" w:cs="Times New Roman"/>
        </w:rPr>
      </w:pPr>
      <w:bookmarkStart w:id="14" w:name="_Toc15260"/>
      <w:bookmarkStart w:id="15" w:name="_Toc4948"/>
      <w:bookmarkStart w:id="16" w:name="_Toc4828"/>
      <w:bookmarkStart w:id="17" w:name="_Toc17963"/>
      <w:bookmarkStart w:id="18" w:name="_Toc29363"/>
      <w:bookmarkStart w:id="19" w:name="_Toc28759"/>
      <w:bookmarkStart w:id="20" w:name="_Toc23266"/>
      <w:bookmarkStart w:id="21" w:name="_Toc14891"/>
      <w:bookmarkStart w:id="22" w:name="_Toc30438"/>
      <w:r>
        <w:rPr>
          <w:rFonts w:hint="default" w:ascii="Times New Roman" w:hAnsi="Times New Roman" w:cs="Times New Roman"/>
        </w:rPr>
        <w:t>第二章</w:t>
      </w:r>
      <w:bookmarkEnd w:id="14"/>
      <w:bookmarkEnd w:id="15"/>
      <w:bookmarkEnd w:id="16"/>
      <w:bookmarkEnd w:id="17"/>
      <w:bookmarkEnd w:id="18"/>
      <w:bookmarkEnd w:id="19"/>
      <w:bookmarkEnd w:id="20"/>
      <w:bookmarkStart w:id="23" w:name="_Toc23810"/>
      <w:bookmarkStart w:id="24" w:name="_Toc17932"/>
      <w:bookmarkStart w:id="25" w:name="_Toc28825"/>
      <w:bookmarkStart w:id="26" w:name="_Toc19743"/>
      <w:bookmarkStart w:id="27" w:name="_Toc10705"/>
      <w:bookmarkStart w:id="28" w:name="_Toc25105"/>
      <w:bookmarkStart w:id="29" w:name="_Toc21080"/>
      <w:r>
        <w:rPr>
          <w:rFonts w:hint="default" w:ascii="Times New Roman" w:hAnsi="Times New Roman" w:cs="Times New Roman"/>
        </w:rPr>
        <w:t xml:space="preserve"> </w:t>
      </w:r>
      <w:bookmarkEnd w:id="23"/>
      <w:bookmarkEnd w:id="24"/>
      <w:bookmarkEnd w:id="25"/>
      <w:bookmarkEnd w:id="26"/>
      <w:bookmarkEnd w:id="27"/>
      <w:bookmarkEnd w:id="28"/>
      <w:r>
        <w:rPr>
          <w:rFonts w:hint="default" w:ascii="Times New Roman" w:hAnsi="Times New Roman" w:cs="Times New Roman"/>
        </w:rPr>
        <w:t>新时代新要求</w:t>
      </w:r>
      <w:bookmarkEnd w:id="21"/>
      <w:bookmarkEnd w:id="22"/>
      <w:bookmarkEnd w:id="29"/>
      <w:bookmarkStart w:id="30" w:name="_Toc11291"/>
      <w:bookmarkStart w:id="31" w:name="_Toc12506"/>
      <w:bookmarkStart w:id="32" w:name="_Toc16814"/>
      <w:bookmarkStart w:id="33" w:name="_Toc32591"/>
    </w:p>
    <w:p>
      <w:pPr>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620" w:lineRule="exact"/>
        <w:ind w:firstLine="420" w:firstLineChars="200"/>
        <w:jc w:val="both"/>
        <w:textAlignment w:val="auto"/>
        <w:rPr>
          <w:rFonts w:hint="default" w:ascii="Times New Roman" w:hAnsi="Times New Roman" w:eastAsia="方正仿宋_GBK" w:cs="Times New Roman"/>
          <w:b/>
          <w:sz w:val="21"/>
          <w:szCs w:val="21"/>
        </w:rPr>
      </w:pPr>
    </w:p>
    <w:p>
      <w:pPr>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第一节 发展</w:t>
      </w:r>
      <w:bookmarkEnd w:id="30"/>
      <w:bookmarkEnd w:id="31"/>
      <w:bookmarkEnd w:id="32"/>
      <w:bookmarkEnd w:id="33"/>
      <w:r>
        <w:rPr>
          <w:rFonts w:hint="default" w:ascii="Times New Roman" w:hAnsi="Times New Roman" w:eastAsia="方正仿宋_GBK" w:cs="Times New Roman"/>
          <w:b/>
          <w:sz w:val="32"/>
          <w:szCs w:val="32"/>
        </w:rPr>
        <w:t>环境</w:t>
      </w:r>
      <w:bookmarkStart w:id="34" w:name="_Toc24727"/>
      <w:bookmarkStart w:id="35" w:name="_Toc22755"/>
      <w:bookmarkStart w:id="36" w:name="_Toc1799"/>
      <w:bookmarkStart w:id="37" w:name="_Toc23429"/>
    </w:p>
    <w:p>
      <w:pPr>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站在新的历史方位展望大势，我国正日益接近实现伟大复兴中国梦，新疆开启新时代现代化建设新征程，喀什地区进入高质量发展关键阶段，疏勒县面临跨越发展新环境。“十四五”发展面临的国际发展环境极其复杂，国内形势极其严峻。挑战前所未有，机遇前所未有。</w:t>
      </w:r>
    </w:p>
    <w:p>
      <w:pPr>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从国际看，当今世界正经历百年未有之大变局，新冠肺炎疫情全球大流行使这个大变局加速演进，经济全球化遭遇逆流，保护主义、单边主义上升，世界经济低迷，国际贸易和投资大幅萎缩，国际经济、科技、文化、安全、政治等格局都在发生深刻调整，世界进入动荡变革期。</w:t>
      </w:r>
    </w:p>
    <w:p>
      <w:pPr>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从国内看，我国正处于实现中华民族伟大复兴的关键时期，经济已由高速增长阶段转向高质量发展阶段，制度优势显著，治理效能提升，经济长期向好，物质基础雄厚，人力资源丰富，市场空间广阔，发展韧性强劲，社会大局稳定，以国内大循环为主体、国内国际双循环相互促进的新发展格局加快构建，继续发展具有多方面优势和条件。</w:t>
      </w:r>
    </w:p>
    <w:p>
      <w:pPr>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从疆内看。第二次新疆工作座谈会以来，新疆工作取得重大成效，为新时期做好新疆工作奠定了坚实的基础。未来一段时期，受外部环境变化影响，丝绸之路核心区建设和中巴经济走廊建设加快，新疆特别是喀什对外的区位优势和战略地位更加凸显。同时，全疆特别是南疆正处于维护稳定的巩固期、对外斗争的尖锐期、由稳向治的攻坚期，经济转型升级任务艰巨，基础设施和公共服务还有短板，城乡区域发展差距较大，生态文明建设任重道远，高层次人才缺乏，发展不平衡不充分的问题突出。</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从我县看。脱贫任务圆满完成，经济发展具备了一定基础。丝绸之路核心区建设、中巴经济走廊建设、喀什经济开发区建设三大国家战略协同发展进入新阶段，将有更多的企业和项目加速流入，大批重点项目工程即将上马，为疏勒县融入“大喀什”提供了重要契机。乡村振兴战略加快实施，将为我县跨越赶超发展提供强有力的保障。更为重要的是，全县干部队伍的思想观念和精神状态发生了根本性改观，改造思想、改变习惯、改进作风已融入日常、形成常态，一级带着一级干、一级对一级负责成为自觉。</w:t>
      </w:r>
      <w:bookmarkEnd w:id="34"/>
      <w:bookmarkEnd w:id="35"/>
      <w:bookmarkEnd w:id="36"/>
      <w:bookmarkEnd w:id="37"/>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bCs/>
          <w:sz w:val="32"/>
          <w:szCs w:val="32"/>
          <w:lang w:eastAsia="zh-CN"/>
        </w:rPr>
        <w:t>第二节</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b/>
          <w:sz w:val="32"/>
          <w:szCs w:val="32"/>
        </w:rPr>
        <w:t>优势与潜力</w:t>
      </w:r>
      <w:bookmarkStart w:id="38" w:name="_Toc3198"/>
      <w:bookmarkStart w:id="39" w:name="_Toc19753"/>
      <w:bookmarkStart w:id="40" w:name="_Toc10618"/>
      <w:bookmarkStart w:id="41" w:name="_Toc21641"/>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新疆西向拓展门户，喀什地区次中心城市</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sz w:val="32"/>
          <w:szCs w:val="32"/>
        </w:rPr>
        <w:t>自治区提出构建“一圈一带一群”区域发展新格局，和“西引东来”“东联西出”全面的开放格局。疏勒县作为祖国西南的咽喉要道，位于南疆政治、经济、文化中心喀什市东南3公里处，有国道相连，隔克孜河相望。具有“六口（岸）通八国，一路连欧亚”的区位优势，集群口岸优势明显，是中国进入中亚、西亚和南亚乃至欧洲的国际大通道，是中国向西开放的重要门户和桥头堡，战略和经济地位十分重要。在喀什地区“构建1个龙头、2个城镇群、3个经济带、5大中心、7大产业体系”的总体框架中疏勒处于“以喀什为中心的喀什河流域城镇群”与“喀什地区中部经济带”的结合部，既是喀什地区的南翼门户，又是喀什地区的次中心城市，区位优势明显，发展潜力巨大。</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“黄金走廊”重要节点，喀什地区次级枢纽</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sz w:val="32"/>
          <w:szCs w:val="32"/>
        </w:rPr>
        <w:t>疏勒县位于新疆维吾尔自治区西南部、喀什地区西北部，地处塔里木盆地西缘喀什噶尔绿洲中部，东与伽师县、岳普湖县相邻，南与英吉沙县接壤，西与克孜勒苏柯尔克孜自治州的阿克陶县相连，西北与疏附县毗邻，北隔克孜勒河与喀什市和疏附县相望，距乌鲁木齐市1484千米，距喀什市7千米。是国家西南咽喉要道，与中亚、西亚和南亚，与塔吉克斯坦、阿富汗等6个国家和地区接壤，是“五口通八国、一路连欧亚”的重要战略支点，疏勒县素有“黄金走廊”之称，G3012线、国道315线，省道214、310、311线，喀和铁路交汇县城并穿越全境，是通往和田、西藏阿里地区和喀什地区南部八县的必经之路，是“大喀什”的重要一翼。</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经济社会健康发展，经济增速走在前列</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sz w:val="32"/>
          <w:szCs w:val="32"/>
        </w:rPr>
        <w:t>疏勒县是喀什地区下辖工农旅综合发展县，较地区内其他县市，良好的城镇化发展和工业化基础，为就地就近城镇化提供了有利条件，为乡村提供了更多的就业机会，同时为城市资源导入乡村、工业反哺农业、工业企业参与乡村建设创造了有利条件。2020年，疏勒县经济社会健康发展，经济增速走在前列。全县实现地区生产总值（GDP）73.35亿元，其中第一产业增加值28.07亿元、第二产业增加值11.65亿元、第三产业增加值33.64亿元，三产比例为38:16:46；社会消费品零售总额15.88亿元；地方一般公共预算收入3.68亿元；城镇居民人均可支配收入25276元，农村居民人均可支配收入10756元，主要经济指标增长率位于全地区中上。</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特色产业优势突出，质量品牌持续突破</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sz w:val="32"/>
          <w:szCs w:val="32"/>
        </w:rPr>
        <w:t>特色农产品持续发展，产业基地规模持续壮大，形成了以蔬菜、特色林果业为主的特色农业。疏勒县蔬菜占喀什市蔬菜市场供应份额的30%-40%，使之成为一市两县“菜篮子”工程的重要一翼，所占的份额举足轻重，2020年，全县蔬菜产业农业总产值111275.36万元，蔬菜生产19.63万亩，总产可达34.8万吨，百亩以上蔬菜基地86个，初加工率90%以上，蔬菜生产向规模化、产业化方向发展，推动蔬菜产业由增产导向转向提质导向，呈现出良好的发展态势；全县发展以西甜瓜为主的特色种植6.89万亩，其中：西甜瓜面积3.269万亩，特色种植谷子、甜菜、茴香等面积3.63万亩。农产品质量品牌建设实现新突破，优质绿色农产品比重持续增加。不断打响以县域命名的“疏勒蔬菜”喀什地区区域公共农产品品牌，“两品一标”农产品认证有序推进。</w:t>
      </w:r>
    </w:p>
    <w:bookmarkEnd w:id="38"/>
    <w:bookmarkEnd w:id="39"/>
    <w:bookmarkEnd w:id="40"/>
    <w:bookmarkEnd w:id="41"/>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eastAsia="zh-CN"/>
        </w:rPr>
        <w:t>第三节</w:t>
      </w:r>
      <w:r>
        <w:rPr>
          <w:rFonts w:hint="default" w:ascii="Times New Roman" w:hAnsi="Times New Roman" w:eastAsia="方正仿宋_GBK" w:cs="Times New Roman"/>
          <w:b/>
          <w:bCs/>
          <w:sz w:val="32"/>
          <w:szCs w:val="32"/>
          <w:lang w:val="en-US" w:eastAsia="zh-CN"/>
        </w:rPr>
        <w:t>问题和挑战</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城镇化发展较滞后，乡村发展起步较晚</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sz w:val="32"/>
          <w:szCs w:val="32"/>
        </w:rPr>
        <w:t>疏勒作为传统农业大县，总体发展基础薄弱、经济水平不高，城镇化进程缓慢，2020年城镇化率仅为12%，远低于全国平均水平（60.34%）、新疆平均水平（52.4%）和喀什地区平均水平（39%），城镇空间的发展仍具有较大潜力。在城镇化发展历程中，城乡发展不均衡，乡村发展起步较晚。同时，乡村发展因地形条件的影响，荒漠区和边远地区的差距明显。乡村地区尤其是边远乡村极度缺乏资源导入的空间载体，城乡融合缺乏有效引擎，乡村发展缺乏动力，成为乡村振兴的主要矛盾和核心需求。</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农业资源较碎片化，农业产业化程度低</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sz w:val="32"/>
          <w:szCs w:val="32"/>
        </w:rPr>
        <w:t>现代农业刚起步，产业化经营水平不高，生产、加工、销售脱节问题仍然存在，严重制约全县的农业增效、农民增收。农业新经济发展不够充分，规模小、占比低，科技创新对农业发展的贡献不够大；农业产业化龙头企业较少，农业规模化、标准化、品牌化发展面临巨大挑战，真正发挥带动作用的不多，产业发展组织化程度较低，多数组织松散，运行机制不健全。</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产业融合缺少平台，缺乏龙头企业引领</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sz w:val="32"/>
          <w:szCs w:val="32"/>
        </w:rPr>
        <w:t>疏勒县大多数农村地区经济发展活力不强，农业现代化水平较低，缺乏现代农业产业园区、特色小镇、田园综合体等新型乡村产业平台。一二三产融合发展滞后，农业品牌不够突出，市场优势尚未形成。休闲农业、绿色农业等新型业态发展比较薄弱，乡村业态缺乏创新。现有县级以上农业龙头企业多数规模偏小，专业化程度不高，难以发挥引领、带动的作用。</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城乡差距仍然较大，乡村间发展不平衡</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sz w:val="32"/>
          <w:szCs w:val="32"/>
        </w:rPr>
        <w:t>2020年，疏勒县农村人居可支配收入为10756，低于喀什地区平均水平。城乡收入比达2.35，农村居民收入、消费水平与城镇的差距依然巨大，与天山北坡城市的差距城呈日益扩大趋势。乡村之间发展不平衡，特别是资源优势不突出的乡村，面临的挑战更为艰巨。乡镇收入、产业之间的差距拉大，疏勒镇、巴仁乡、洋大曼乡、亚曼牙乡、巴合齐乡五个北部乡镇农民人均可支配收入13860元，比全县农民人均可支配收入高28.9%，县域北部乡镇整体经济较好，明显强于县域东南部乡村。</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cs="Times New Roman"/>
        </w:rPr>
      </w:pPr>
      <w:r>
        <w:rPr>
          <w:rFonts w:hint="default" w:ascii="Times New Roman" w:hAnsi="Times New Roman" w:eastAsia="方正仿宋_GBK" w:cs="Times New Roman"/>
          <w:b/>
          <w:bCs/>
          <w:sz w:val="32"/>
          <w:szCs w:val="32"/>
        </w:rPr>
        <w:t>乡村生活缺乏品质，乡村发展活力不高</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sz w:val="32"/>
          <w:szCs w:val="32"/>
        </w:rPr>
        <w:t>县域乡村人居环境有待改善。农村改厕、改水推进滞后，农业面源污染不容忽视，离生态宜居的差距较大。公共服务城乡统筹发展水平较低，社会事业发展不同步，城乡公共服务均等化程度偏低，义务教育、医疗卫生和社会保障等基本公共服务在城乡之间仍处于不均衡发展状态。疏勒县乡村生活品质总体不高，对人才的吸引力不足。</w:t>
      </w:r>
      <w:r>
        <w:rPr>
          <w:rFonts w:hint="default" w:ascii="Times New Roman" w:hAnsi="Times New Roman" w:cs="Times New Roman"/>
        </w:rPr>
        <w:br w:type="page"/>
      </w:r>
    </w:p>
    <w:p>
      <w:pPr>
        <w:pStyle w:val="2"/>
        <w:pageBreakBefore w:val="0"/>
        <w:widowControl w:val="0"/>
        <w:kinsoku/>
        <w:wordWrap/>
        <w:topLinePunct w:val="0"/>
        <w:autoSpaceDE/>
        <w:autoSpaceDN/>
        <w:bidi w:val="0"/>
        <w:spacing w:line="620" w:lineRule="exact"/>
        <w:textAlignment w:val="auto"/>
        <w:rPr>
          <w:rFonts w:hint="default" w:ascii="Times New Roman" w:hAnsi="Times New Roman" w:cs="Times New Roman"/>
        </w:rPr>
      </w:pPr>
      <w:bookmarkStart w:id="42" w:name="_Toc4780"/>
      <w:bookmarkStart w:id="43" w:name="_Toc10923"/>
      <w:bookmarkStart w:id="44" w:name="_Toc27716"/>
      <w:bookmarkStart w:id="45" w:name="_Toc7033"/>
      <w:bookmarkStart w:id="46" w:name="_Toc13577"/>
      <w:bookmarkStart w:id="47" w:name="_Toc5081"/>
      <w:bookmarkStart w:id="48" w:name="_Toc27070"/>
      <w:bookmarkStart w:id="49" w:name="_Toc8271"/>
      <w:r>
        <w:rPr>
          <w:rFonts w:hint="default" w:ascii="Times New Roman" w:hAnsi="Times New Roman" w:cs="Times New Roman"/>
        </w:rPr>
        <w:t>第</w:t>
      </w:r>
      <w:r>
        <w:rPr>
          <w:rFonts w:hint="default" w:ascii="Times New Roman" w:hAnsi="Times New Roman" w:cs="Times New Roman"/>
          <w:lang w:eastAsia="zh-CN"/>
        </w:rPr>
        <w:t>二</w:t>
      </w:r>
      <w:r>
        <w:rPr>
          <w:rFonts w:hint="default" w:ascii="Times New Roman" w:hAnsi="Times New Roman" w:cs="Times New Roman"/>
        </w:rPr>
        <w:t>篇 着眼长远 开启时代新征程</w:t>
      </w:r>
      <w:bookmarkEnd w:id="42"/>
    </w:p>
    <w:p>
      <w:pPr>
        <w:pStyle w:val="3"/>
        <w:pageBreakBefore w:val="0"/>
        <w:widowControl w:val="0"/>
        <w:kinsoku/>
        <w:wordWrap/>
        <w:topLinePunct w:val="0"/>
        <w:autoSpaceDE/>
        <w:autoSpaceDN/>
        <w:bidi w:val="0"/>
        <w:spacing w:line="620" w:lineRule="exact"/>
        <w:textAlignment w:val="auto"/>
        <w:rPr>
          <w:rFonts w:hint="default" w:ascii="Times New Roman" w:hAnsi="Times New Roman" w:cs="Times New Roman"/>
          <w:lang w:val="en-US" w:eastAsia="zh-CN"/>
        </w:rPr>
      </w:pPr>
      <w:bookmarkStart w:id="50" w:name="_Toc13464"/>
      <w:r>
        <w:rPr>
          <w:rFonts w:hint="default" w:ascii="Times New Roman" w:hAnsi="Times New Roman" w:cs="Times New Roman"/>
          <w:lang w:val="en-US" w:eastAsia="zh-CN"/>
        </w:rPr>
        <w:t>第一章 指导思想</w:t>
      </w:r>
      <w:bookmarkEnd w:id="50"/>
    </w:p>
    <w:p>
      <w:pPr>
        <w:pageBreakBefore w:val="0"/>
        <w:widowControl w:val="0"/>
        <w:kinsoku/>
        <w:wordWrap/>
        <w:topLinePunct w:val="0"/>
        <w:autoSpaceDE/>
        <w:autoSpaceDN/>
        <w:bidi w:val="0"/>
        <w:spacing w:line="620" w:lineRule="exact"/>
        <w:textAlignment w:val="auto"/>
        <w:rPr>
          <w:rFonts w:hint="default" w:ascii="Times New Roman" w:hAnsi="Times New Roman" w:eastAsia="方正仿宋_GBK" w:cs="Times New Roman"/>
          <w:sz w:val="32"/>
          <w:szCs w:val="32"/>
        </w:rPr>
      </w:pPr>
    </w:p>
    <w:p>
      <w:pPr>
        <w:pageBreakBefore w:val="0"/>
        <w:widowControl w:val="0"/>
        <w:kinsoku/>
        <w:wordWrap/>
        <w:topLinePunct w:val="0"/>
        <w:autoSpaceDE/>
        <w:autoSpaceDN/>
        <w:bidi w:val="0"/>
        <w:spacing w:line="62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高举中国特色社会主义伟大旗帜，</w:t>
      </w:r>
      <w:r>
        <w:rPr>
          <w:rFonts w:hint="default" w:ascii="Times New Roman" w:hAnsi="Times New Roman" w:eastAsia="方正仿宋_GBK" w:cs="Times New Roman"/>
          <w:sz w:val="32"/>
          <w:szCs w:val="32"/>
          <w:lang w:val="en-US" w:eastAsia="zh-CN"/>
        </w:rPr>
        <w:t>坚持以习近平新时代中国特色社会主义思想为指导，</w:t>
      </w:r>
      <w:r>
        <w:rPr>
          <w:rFonts w:hint="default" w:ascii="Times New Roman" w:hAnsi="Times New Roman" w:eastAsia="方正仿宋_GBK" w:cs="Times New Roman"/>
          <w:sz w:val="32"/>
          <w:szCs w:val="32"/>
        </w:rPr>
        <w:t>深入贯彻落实党的十九大和十九届历次全会精神，</w:t>
      </w:r>
      <w:r>
        <w:rPr>
          <w:rFonts w:hint="default" w:ascii="Times New Roman" w:hAnsi="Times New Roman" w:eastAsia="方正仿宋_GBK" w:cs="Times New Roman"/>
          <w:sz w:val="32"/>
          <w:szCs w:val="32"/>
          <w:lang w:val="en-US" w:eastAsia="zh-CN"/>
        </w:rPr>
        <w:t>贯彻落实中央经济工作会议、中央农村工作会议和第三次新疆工作座谈会精神，</w:t>
      </w:r>
      <w:r>
        <w:rPr>
          <w:rFonts w:hint="default" w:ascii="Times New Roman" w:hAnsi="Times New Roman" w:eastAsia="方正仿宋_GBK" w:cs="Times New Roman"/>
          <w:sz w:val="32"/>
          <w:szCs w:val="32"/>
        </w:rPr>
        <w:t>贯彻落实习近平总书记关于“三农”工作和巩固拓展脱贫攻坚成果同乡村振兴有效衔接工作的重要讲话精神，贯彻落实中共中央、国务院《关于做好2022年全面推进乡村振兴重点工作的意见》（中发〔2022〕1号）精神，</w:t>
      </w:r>
      <w:r>
        <w:rPr>
          <w:rFonts w:hint="default" w:ascii="Times New Roman" w:hAnsi="Times New Roman" w:eastAsia="方正仿宋_GBK" w:cs="Times New Roman"/>
          <w:sz w:val="32"/>
          <w:szCs w:val="32"/>
          <w:lang w:val="en-US" w:eastAsia="zh-CN"/>
        </w:rPr>
        <w:t>坚持稳中求进工作总基调，坚持以人民为中心的发展思想，坚持共同富裕方向，立足新发展阶段、贯彻新发展理念、构建新发展格局、推动高质量发展，将巩固拓展脱贫攻坚成果放在突出位置，加快推进乡村产业、人才、文化、生态、组织等全面振兴，为全面实现农业农村现代化奠定基础。</w:t>
      </w:r>
      <w:bookmarkStart w:id="51" w:name="_Toc22765"/>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黑体" w:cs="Times New Roman"/>
          <w:sz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黑体" w:cs="Times New Roman"/>
          <w:sz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黑体" w:cs="Times New Roman"/>
          <w:sz w:val="32"/>
        </w:rPr>
      </w:pPr>
    </w:p>
    <w:p>
      <w:pPr>
        <w:pStyle w:val="3"/>
        <w:pageBreakBefore w:val="0"/>
        <w:widowControl w:val="0"/>
        <w:kinsoku/>
        <w:wordWrap/>
        <w:topLinePunct w:val="0"/>
        <w:autoSpaceDE/>
        <w:autoSpaceDN/>
        <w:bidi w:val="0"/>
        <w:spacing w:line="620" w:lineRule="exact"/>
        <w:textAlignment w:val="auto"/>
        <w:rPr>
          <w:rFonts w:hint="default" w:ascii="Times New Roman" w:hAnsi="Times New Roman" w:cs="Times New Roman"/>
        </w:rPr>
      </w:pPr>
      <w:bookmarkStart w:id="52" w:name="_Toc19076"/>
      <w:r>
        <w:rPr>
          <w:rFonts w:hint="default" w:ascii="Times New Roman" w:hAnsi="Times New Roman" w:cs="Times New Roman"/>
        </w:rPr>
        <w:t>第二章 基本原则</w:t>
      </w:r>
      <w:bookmarkEnd w:id="43"/>
      <w:bookmarkEnd w:id="44"/>
      <w:bookmarkEnd w:id="45"/>
      <w:bookmarkEnd w:id="46"/>
      <w:bookmarkEnd w:id="47"/>
      <w:bookmarkEnd w:id="48"/>
      <w:bookmarkEnd w:id="49"/>
      <w:bookmarkEnd w:id="51"/>
      <w:bookmarkEnd w:id="52"/>
    </w:p>
    <w:p>
      <w:pPr>
        <w:keepNext w:val="0"/>
        <w:keepLines w:val="0"/>
        <w:pageBreakBefore w:val="0"/>
        <w:widowControl w:val="0"/>
        <w:kinsoku/>
        <w:wordWrap/>
        <w:overflowPunct/>
        <w:topLinePunct w:val="0"/>
        <w:autoSpaceDE/>
        <w:autoSpaceDN/>
        <w:bidi w:val="0"/>
        <w:adjustRightInd/>
        <w:snapToGrid/>
        <w:spacing w:line="620" w:lineRule="exact"/>
        <w:ind w:firstLine="800" w:firstLineChars="250"/>
        <w:jc w:val="both"/>
        <w:textAlignment w:val="auto"/>
        <w:rPr>
          <w:rFonts w:hint="default" w:ascii="Times New Roman" w:hAnsi="Times New Roman" w:eastAsia="方正仿宋_GBK"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bCs/>
          <w:sz w:val="32"/>
          <w:szCs w:val="32"/>
        </w:rPr>
        <w:t>——坚持党管农村工作。</w:t>
      </w:r>
      <w:r>
        <w:rPr>
          <w:rFonts w:hint="default" w:ascii="Times New Roman" w:hAnsi="Times New Roman" w:eastAsia="方正仿宋_GBK" w:cs="Times New Roman"/>
          <w:b w:val="0"/>
          <w:bCs w:val="0"/>
          <w:sz w:val="32"/>
          <w:szCs w:val="32"/>
        </w:rPr>
        <w:t>毫不动摇地坚持和加强党对农村工作的领导，健全党管农村工作方面的领导体制机制，确保党在农村工作中始终总揽全局、协调各方，为乡村振兴提供坚强有力的政治保障。</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bCs/>
          <w:sz w:val="32"/>
          <w:szCs w:val="32"/>
        </w:rPr>
        <w:t>——坚持农业农村优先发展。</w:t>
      </w:r>
      <w:r>
        <w:rPr>
          <w:rFonts w:hint="default" w:ascii="Times New Roman" w:hAnsi="Times New Roman" w:eastAsia="方正仿宋_GBK" w:cs="Times New Roman"/>
          <w:b w:val="0"/>
          <w:bCs w:val="0"/>
          <w:sz w:val="32"/>
          <w:szCs w:val="32"/>
        </w:rPr>
        <w:t>始终把“三农”工作作为工作重中之重，在干部配备上优先考虑、要素配置上优先满足、资金投入上优先保障、公共服务上优先安排，加快补齐农业农村短板。</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bCs/>
          <w:sz w:val="32"/>
          <w:szCs w:val="32"/>
        </w:rPr>
        <w:t>——坚持农民主体地位。</w:t>
      </w:r>
      <w:r>
        <w:rPr>
          <w:rFonts w:hint="default" w:ascii="Times New Roman" w:hAnsi="Times New Roman" w:eastAsia="方正仿宋_GBK" w:cs="Times New Roman"/>
          <w:b w:val="0"/>
          <w:bCs w:val="0"/>
          <w:sz w:val="32"/>
          <w:szCs w:val="32"/>
        </w:rPr>
        <w:t>充分尊重农民意愿，维护农民根本利益，调动广大农民积极性、主动性、创造性，激活乡村振兴内生动力，持续增加农民收入，让广大农民在乡村振兴中有更多获得感、幸福感、安全感。</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bCs/>
          <w:sz w:val="32"/>
          <w:szCs w:val="32"/>
        </w:rPr>
        <w:t>——坚持城乡融合发展。</w:t>
      </w:r>
      <w:r>
        <w:rPr>
          <w:rFonts w:hint="default" w:ascii="Times New Roman" w:hAnsi="Times New Roman" w:eastAsia="方正仿宋_GBK" w:cs="Times New Roman"/>
          <w:b w:val="0"/>
          <w:bCs w:val="0"/>
          <w:sz w:val="32"/>
          <w:szCs w:val="32"/>
        </w:rPr>
        <w:t>建立健全城乡融合发展的体制机制，推动城乡要素自由流动、平等交换，促进城乡在产业发展、公共服务、生态保护等方面全面融合，加快形成工农互促、城乡互补、全面融合、共同繁荣的新型工农城乡关系。</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bCs/>
          <w:sz w:val="32"/>
          <w:szCs w:val="32"/>
        </w:rPr>
        <w:t>——坚持人与自然和谐共生。</w:t>
      </w:r>
      <w:r>
        <w:rPr>
          <w:rFonts w:hint="default" w:ascii="Times New Roman" w:hAnsi="Times New Roman" w:eastAsia="方正仿宋_GBK" w:cs="Times New Roman"/>
          <w:b w:val="0"/>
          <w:bCs w:val="0"/>
          <w:sz w:val="32"/>
          <w:szCs w:val="32"/>
        </w:rPr>
        <w:t>牢固树立和践行绿水青山就是金山银山的理念，落实节约优先、保护优先、自然恢复为主的方针，统筹山水林田湖草系统治理，严守生态保护红线，以绿色发展引领乡村振兴。</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bCs/>
          <w:sz w:val="32"/>
          <w:szCs w:val="32"/>
        </w:rPr>
        <w:t>——坚持因地制宜有序推进。</w:t>
      </w:r>
      <w:r>
        <w:rPr>
          <w:rFonts w:hint="default" w:ascii="Times New Roman" w:hAnsi="Times New Roman" w:eastAsia="方正仿宋_GBK" w:cs="Times New Roman"/>
          <w:b w:val="0"/>
          <w:bCs w:val="0"/>
          <w:sz w:val="32"/>
          <w:szCs w:val="32"/>
        </w:rPr>
        <w:t>遵循乡村发展规律，规划先行、多规合一，分类推进、典型引路，既尽力而为，又量力而行，不搞层层加码，不搞一刀切，不搞形式主义和形象工程，久久为功，扎实推进。</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方正仿宋_GBK" w:cs="Times New Roman"/>
          <w:b w:val="0"/>
          <w:bCs w:val="0"/>
          <w:sz w:val="32"/>
          <w:szCs w:val="32"/>
        </w:rPr>
      </w:pPr>
    </w:p>
    <w:p>
      <w:pPr>
        <w:pStyle w:val="3"/>
        <w:pageBreakBefore w:val="0"/>
        <w:widowControl w:val="0"/>
        <w:kinsoku/>
        <w:wordWrap/>
        <w:topLinePunct w:val="0"/>
        <w:autoSpaceDE/>
        <w:autoSpaceDN/>
        <w:bidi w:val="0"/>
        <w:spacing w:line="620" w:lineRule="exact"/>
        <w:textAlignment w:val="auto"/>
        <w:rPr>
          <w:rFonts w:hint="default" w:ascii="Times New Roman" w:hAnsi="Times New Roman" w:cs="Times New Roman"/>
        </w:rPr>
      </w:pPr>
      <w:bookmarkStart w:id="53" w:name="_Toc12915"/>
      <w:bookmarkStart w:id="54" w:name="_Toc24531"/>
      <w:bookmarkStart w:id="55" w:name="_Toc6724"/>
      <w:bookmarkStart w:id="56" w:name="_Toc26489"/>
      <w:bookmarkStart w:id="57" w:name="_Toc27205"/>
      <w:bookmarkStart w:id="58" w:name="_Toc3246"/>
      <w:bookmarkStart w:id="59" w:name="_Toc11191"/>
      <w:bookmarkStart w:id="60" w:name="_Toc16910"/>
      <w:bookmarkStart w:id="61" w:name="_Toc17250"/>
      <w:r>
        <w:rPr>
          <w:rFonts w:hint="default" w:ascii="Times New Roman" w:hAnsi="Times New Roman" w:cs="Times New Roman"/>
        </w:rPr>
        <w:t>第三章 发展思路</w:t>
      </w:r>
      <w:bookmarkEnd w:id="53"/>
      <w:bookmarkEnd w:id="54"/>
      <w:bookmarkEnd w:id="55"/>
      <w:bookmarkEnd w:id="56"/>
      <w:bookmarkEnd w:id="57"/>
      <w:r>
        <w:rPr>
          <w:rFonts w:hint="default" w:ascii="Times New Roman" w:hAnsi="Times New Roman" w:cs="Times New Roman"/>
        </w:rPr>
        <w:t>和定位</w:t>
      </w:r>
      <w:bookmarkEnd w:id="58"/>
      <w:bookmarkEnd w:id="59"/>
      <w:bookmarkEnd w:id="60"/>
      <w:bookmarkEnd w:id="61"/>
    </w:p>
    <w:p>
      <w:pPr>
        <w:pageBreakBefore w:val="0"/>
        <w:widowControl w:val="0"/>
        <w:kinsoku/>
        <w:wordWrap/>
        <w:topLinePunct w:val="0"/>
        <w:autoSpaceDE/>
        <w:autoSpaceDN/>
        <w:bidi w:val="0"/>
        <w:spacing w:line="620"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outlineLvl w:val="9"/>
        <w:rPr>
          <w:rFonts w:hint="default" w:ascii="Times New Roman" w:hAnsi="Times New Roman" w:eastAsia="方正仿宋_GBK" w:cs="Times New Roman"/>
          <w:b w:val="0"/>
          <w:bCs w:val="0"/>
          <w:sz w:val="32"/>
          <w:szCs w:val="32"/>
          <w:lang w:val="en-US" w:eastAsia="zh-CN" w:bidi="zh-CN"/>
        </w:rPr>
      </w:pPr>
      <w:r>
        <w:rPr>
          <w:rFonts w:hint="default" w:ascii="Times New Roman" w:hAnsi="Times New Roman" w:eastAsia="方正仿宋_GBK" w:cs="Times New Roman"/>
          <w:b w:val="0"/>
          <w:bCs w:val="0"/>
          <w:sz w:val="32"/>
          <w:szCs w:val="32"/>
          <w:lang w:val="en-US" w:eastAsia="zh-CN" w:bidi="zh-CN"/>
        </w:rPr>
        <w:t>以加快农村人居环境整治、高质量创建自治区现代农业产业园、争创新疆旅游名县为战略重点，打造新疆乡村振兴的典型示范，突出城乡融合、农旅融合、一二三产融合发展的理念，全面建设“</w:t>
      </w:r>
      <w:r>
        <w:rPr>
          <w:rFonts w:hint="default" w:ascii="Times New Roman" w:hAnsi="Times New Roman" w:eastAsia="方正仿宋_GBK" w:cs="Times New Roman"/>
          <w:b/>
          <w:bCs/>
          <w:sz w:val="32"/>
          <w:szCs w:val="32"/>
          <w:lang w:val="en-US" w:eastAsia="zh-CN" w:bidi="zh-CN"/>
        </w:rPr>
        <w:t>现代农业强县、文化旅游名县、生态宜居美县、和谐幸福疏勒</w:t>
      </w:r>
      <w:r>
        <w:rPr>
          <w:rFonts w:hint="default" w:ascii="Times New Roman" w:hAnsi="Times New Roman" w:eastAsia="方正仿宋_GBK" w:cs="Times New Roman"/>
          <w:b w:val="0"/>
          <w:bCs w:val="0"/>
          <w:sz w:val="32"/>
          <w:szCs w:val="32"/>
          <w:lang w:val="en-US" w:eastAsia="zh-CN" w:bidi="zh-CN"/>
        </w:rPr>
        <w:t>”，健康有序推进疏勒县乡村振兴。</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outlineLvl w:val="9"/>
        <w:rPr>
          <w:rFonts w:hint="default" w:ascii="Times New Roman" w:hAnsi="Times New Roman" w:eastAsia="方正仿宋_GBK" w:cs="Times New Roman"/>
          <w:b w:val="0"/>
          <w:bCs w:val="0"/>
          <w:sz w:val="32"/>
          <w:szCs w:val="32"/>
          <w:lang w:val="en-US" w:eastAsia="zh-CN" w:bidi="zh-CN"/>
        </w:rPr>
      </w:pPr>
      <w:r>
        <w:rPr>
          <w:rFonts w:hint="default" w:ascii="Times New Roman" w:hAnsi="Times New Roman" w:eastAsia="方正仿宋_GBK" w:cs="Times New Roman"/>
          <w:b/>
          <w:bCs/>
          <w:sz w:val="32"/>
          <w:szCs w:val="32"/>
          <w:lang w:val="en-US" w:eastAsia="zh-CN" w:bidi="zh-CN"/>
        </w:rPr>
        <w:t>——聚力大农业，打造现代农业强县。</w:t>
      </w:r>
      <w:r>
        <w:rPr>
          <w:rFonts w:hint="default" w:ascii="Times New Roman" w:hAnsi="Times New Roman" w:eastAsia="方正仿宋_GBK" w:cs="Times New Roman"/>
          <w:b w:val="0"/>
          <w:bCs w:val="0"/>
          <w:sz w:val="32"/>
          <w:szCs w:val="32"/>
          <w:lang w:val="en-US" w:eastAsia="zh-CN" w:bidi="zh-CN"/>
        </w:rPr>
        <w:t>以深化农业供给侧结构性改革为主线，坚持质量兴农、绿色兴农，全面推进产业融合、平台搭建、工农融合、农旅融合，大力推进自治区级现代农业园区建设、粮食功能主产区和重点农产品保护区建设，确保粮油生产能力，做强特色优势产业，优化产业整体布局，打造乡村振兴产业融合发展平台。</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outlineLvl w:val="9"/>
        <w:rPr>
          <w:rFonts w:hint="default" w:ascii="Times New Roman" w:hAnsi="Times New Roman" w:eastAsia="方正仿宋_GBK" w:cs="Times New Roman"/>
          <w:b w:val="0"/>
          <w:bCs w:val="0"/>
          <w:sz w:val="32"/>
          <w:szCs w:val="32"/>
          <w:lang w:val="en-US" w:eastAsia="zh-CN" w:bidi="zh-CN"/>
        </w:rPr>
      </w:pP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b/>
          <w:bCs/>
          <w:sz w:val="32"/>
          <w:szCs w:val="32"/>
          <w:lang w:val="en-US" w:eastAsia="zh-CN" w:bidi="zh-CN"/>
        </w:rPr>
        <w:t>开拓大旅游，创建文化旅游名县。</w:t>
      </w:r>
      <w:r>
        <w:rPr>
          <w:rFonts w:hint="default" w:ascii="Times New Roman" w:hAnsi="Times New Roman" w:eastAsia="方正仿宋_GBK" w:cs="Times New Roman"/>
          <w:b w:val="0"/>
          <w:bCs w:val="0"/>
          <w:sz w:val="32"/>
          <w:szCs w:val="32"/>
          <w:lang w:val="en-US" w:eastAsia="zh-CN" w:bidi="zh-CN"/>
        </w:rPr>
        <w:t>深入挖掘疏勒县农业、生态、民俗、工业、历史文化等特色旅游资源，坚持产业融合发展战略，培育农业旅游、文化旅游、生态旅游、康养旅游等多样化的旅游业态，通过合理的空间布局与旅游线路的串联，构建全域旅游大格局。同步推进旅游产品的打造，加强旅游配套服务与管理体系的构建，力争创建环境佳、文化秀、体验强、服务优的旅游名县。</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outlineLvl w:val="9"/>
        <w:rPr>
          <w:rFonts w:hint="default" w:ascii="Times New Roman" w:hAnsi="Times New Roman" w:eastAsia="方正仿宋_GBK" w:cs="Times New Roman"/>
          <w:b w:val="0"/>
          <w:bCs w:val="0"/>
          <w:sz w:val="32"/>
          <w:szCs w:val="32"/>
          <w:lang w:val="en-US" w:eastAsia="zh-CN" w:bidi="zh-CN"/>
        </w:rPr>
      </w:pP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b/>
          <w:bCs/>
          <w:sz w:val="32"/>
          <w:szCs w:val="32"/>
          <w:lang w:val="en-US" w:eastAsia="zh-CN" w:bidi="zh-CN"/>
        </w:rPr>
        <w:t>建设大花园，营造生态宜居美县。</w:t>
      </w:r>
      <w:r>
        <w:rPr>
          <w:rFonts w:hint="default" w:ascii="Times New Roman" w:hAnsi="Times New Roman" w:eastAsia="方正仿宋_GBK" w:cs="Times New Roman"/>
          <w:b w:val="0"/>
          <w:bCs w:val="0"/>
          <w:sz w:val="32"/>
          <w:szCs w:val="32"/>
          <w:lang w:val="en-US" w:eastAsia="zh-CN" w:bidi="zh-CN"/>
        </w:rPr>
        <w:t>统筹推进山水林田湖草系统治理，大力实施“美丽疏勒”行动，以垃圾革命、污水革命、厕所革命和村容村貌整治为重点，以建设全域景区、全域大花园为目标，全面推进农村人居环境整治，构建生活环境优美、生态系统健康、人与自然和谐共生的乡村发展新格局。</w:t>
      </w:r>
    </w:p>
    <w:p>
      <w:pPr>
        <w:pStyle w:val="8"/>
        <w:keepNext w:val="0"/>
        <w:keepLines w:val="0"/>
        <w:pageBreakBefore w:val="0"/>
        <w:widowControl w:val="0"/>
        <w:kinsoku/>
        <w:wordWrap/>
        <w:topLinePunct w:val="0"/>
        <w:autoSpaceDE/>
        <w:autoSpaceDN/>
        <w:bidi w:val="0"/>
        <w:adjustRightInd/>
        <w:snapToGrid/>
        <w:spacing w:line="62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b/>
          <w:bCs/>
          <w:sz w:val="32"/>
          <w:szCs w:val="32"/>
          <w:lang w:val="en-US" w:eastAsia="zh-CN" w:bidi="zh-CN"/>
        </w:rPr>
        <w:t>构筑大乡村，共建和谐幸福疏勒。</w:t>
      </w:r>
      <w:r>
        <w:rPr>
          <w:rFonts w:hint="default" w:ascii="Times New Roman" w:hAnsi="Times New Roman" w:eastAsia="方正仿宋_GBK" w:cs="Times New Roman"/>
          <w:b w:val="0"/>
          <w:bCs w:val="0"/>
          <w:sz w:val="32"/>
          <w:szCs w:val="32"/>
          <w:lang w:val="en-US" w:eastAsia="zh-CN" w:bidi="zh-CN"/>
        </w:rPr>
        <w:t>分类有序推进村庄发展，培育乡村新业态，挖掘乡村资源，激发乡村活力，实现农民创业增收。大力实施“乡风文明”、“文化惠民”、“文化传承”文化工程，培育文明乡风、良好家风、淳朴民风，建设邻里守望、诚信重礼、勤俭节约的文明乡村。以发展新型集体经济为抓手，创新乡村人才机制和治理体系，构建充满活力、和谐有序的善治乡村。加快乡村设施建设，提高农村美好生活保障水平。</w:t>
      </w:r>
    </w:p>
    <w:p>
      <w:pPr>
        <w:pStyle w:val="3"/>
        <w:pageBreakBefore w:val="0"/>
        <w:widowControl w:val="0"/>
        <w:kinsoku/>
        <w:wordWrap/>
        <w:topLinePunct w:val="0"/>
        <w:autoSpaceDE/>
        <w:autoSpaceDN/>
        <w:bidi w:val="0"/>
        <w:spacing w:line="620" w:lineRule="exact"/>
        <w:textAlignment w:val="auto"/>
        <w:rPr>
          <w:rFonts w:hint="default" w:ascii="Times New Roman" w:hAnsi="Times New Roman" w:cs="Times New Roman"/>
          <w:lang w:eastAsia="zh-CN"/>
        </w:rPr>
      </w:pPr>
      <w:bookmarkStart w:id="62" w:name="_Toc24535"/>
      <w:r>
        <w:rPr>
          <w:rFonts w:hint="default" w:ascii="Times New Roman" w:hAnsi="Times New Roman" w:cs="Times New Roman"/>
        </w:rPr>
        <w:t>第</w:t>
      </w:r>
      <w:r>
        <w:rPr>
          <w:rFonts w:hint="default" w:ascii="Times New Roman" w:hAnsi="Times New Roman" w:cs="Times New Roman"/>
          <w:lang w:eastAsia="zh-CN"/>
        </w:rPr>
        <w:t>四</w:t>
      </w:r>
      <w:r>
        <w:rPr>
          <w:rFonts w:hint="default" w:ascii="Times New Roman" w:hAnsi="Times New Roman" w:cs="Times New Roman"/>
        </w:rPr>
        <w:t xml:space="preserve">章 </w:t>
      </w:r>
      <w:r>
        <w:rPr>
          <w:rFonts w:hint="default" w:ascii="Times New Roman" w:hAnsi="Times New Roman" w:cs="Times New Roman"/>
          <w:lang w:eastAsia="zh-CN"/>
        </w:rPr>
        <w:t>主要目标</w:t>
      </w:r>
      <w:bookmarkEnd w:id="62"/>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sz w:val="32"/>
          <w:szCs w:val="32"/>
        </w:rPr>
      </w:pPr>
    </w:p>
    <w:p>
      <w:pPr>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sz w:val="32"/>
          <w:szCs w:val="32"/>
        </w:rPr>
      </w:pPr>
      <w:bookmarkStart w:id="63" w:name="_Toc1632"/>
      <w:bookmarkStart w:id="64" w:name="_Toc32135"/>
      <w:bookmarkStart w:id="65" w:name="_Toc55322812"/>
      <w:bookmarkStart w:id="66" w:name="_Toc55757252"/>
      <w:bookmarkStart w:id="67" w:name="_Toc30669"/>
      <w:bookmarkStart w:id="68" w:name="_Toc14136"/>
      <w:bookmarkStart w:id="69" w:name="_Toc4225"/>
      <w:r>
        <w:rPr>
          <w:rFonts w:hint="default" w:ascii="Times New Roman" w:hAnsi="Times New Roman" w:eastAsia="方正仿宋_GBK" w:cs="Times New Roman"/>
          <w:sz w:val="32"/>
          <w:szCs w:val="32"/>
        </w:rPr>
        <w:t>全面巩固拓展脱贫攻坚成果，加快补齐区域性发展短板，突出发展导向，从解决建档立卡贫困人口“两不愁三保障”为重点转向实现乡村产业兴旺、生态宜居、乡风文明、治理有效、生活富裕，从集中资源支持脱贫攻坚转向巩固拓展脱贫攻坚成果和全面推进乡村振兴。</w:t>
      </w:r>
    </w:p>
    <w:p>
      <w:pPr>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到2025年，脱贫基础更加稳固、成效更可持续，有效衔接乡村振兴，社会大局持续稳定长期稳定，农村基础设施和基本公共服务水平进一步提升，乡村产业质量效益和竞争力进一步提高，</w:t>
      </w:r>
      <w:r>
        <w:rPr>
          <w:rFonts w:hint="default" w:ascii="Times New Roman" w:hAnsi="Times New Roman" w:eastAsia="方正仿宋_GBK" w:cs="Times New Roman"/>
          <w:sz w:val="32"/>
          <w:szCs w:val="32"/>
          <w:lang w:val="en-US" w:eastAsia="zh-CN"/>
        </w:rPr>
        <w:t>脱贫群众收入增速高于全县农民收入增速，脱贫村农民收入增速高于全县农民收入增速，</w:t>
      </w:r>
      <w:r>
        <w:rPr>
          <w:rFonts w:hint="default" w:ascii="Times New Roman" w:hAnsi="Times New Roman" w:eastAsia="方正仿宋_GBK" w:cs="Times New Roman"/>
          <w:sz w:val="32"/>
          <w:szCs w:val="32"/>
        </w:rPr>
        <w:t>经济活力和发展后劲明显增强，发展水平达到全</w:t>
      </w:r>
      <w:r>
        <w:rPr>
          <w:rFonts w:hint="default" w:ascii="Times New Roman" w:hAnsi="Times New Roman" w:eastAsia="方正仿宋_GBK" w:cs="Times New Roman"/>
          <w:sz w:val="32"/>
          <w:szCs w:val="32"/>
          <w:lang w:val="en-US" w:eastAsia="zh-CN"/>
        </w:rPr>
        <w:t>疆</w:t>
      </w:r>
      <w:r>
        <w:rPr>
          <w:rFonts w:hint="default" w:ascii="Times New Roman" w:hAnsi="Times New Roman" w:eastAsia="方正仿宋_GBK" w:cs="Times New Roman"/>
          <w:sz w:val="32"/>
          <w:szCs w:val="32"/>
        </w:rPr>
        <w:t>一般水平，在全面推进乡村振兴的新征程中不掉队。</w:t>
      </w:r>
    </w:p>
    <w:p>
      <w:pPr>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仿宋_GB2312" w:cs="Times New Roman"/>
          <w:sz w:val="32"/>
          <w:szCs w:val="32"/>
        </w:rPr>
      </w:pPr>
    </w:p>
    <w:p>
      <w:pPr>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仿宋_GB2312" w:cs="Times New Roman"/>
          <w:sz w:val="32"/>
          <w:szCs w:val="32"/>
        </w:rPr>
      </w:pPr>
    </w:p>
    <w:p>
      <w:pPr>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仿宋_GB2312" w:cs="Times New Roman"/>
          <w:sz w:val="32"/>
          <w:szCs w:val="32"/>
        </w:rPr>
      </w:pPr>
    </w:p>
    <w:p>
      <w:pPr>
        <w:pStyle w:val="2"/>
        <w:pageBreakBefore w:val="0"/>
        <w:widowControl w:val="0"/>
        <w:kinsoku/>
        <w:wordWrap/>
        <w:topLinePunct w:val="0"/>
        <w:autoSpaceDE/>
        <w:autoSpaceDN/>
        <w:bidi w:val="0"/>
        <w:spacing w:line="620" w:lineRule="exact"/>
        <w:textAlignment w:val="auto"/>
        <w:rPr>
          <w:rFonts w:hint="default" w:ascii="Times New Roman" w:hAnsi="Times New Roman" w:cs="Times New Roman"/>
        </w:rPr>
      </w:pPr>
      <w:r>
        <w:rPr>
          <w:rFonts w:hint="default" w:ascii="Times New Roman" w:hAnsi="Times New Roman" w:cs="Times New Roman"/>
        </w:rPr>
        <w:t xml:space="preserve">第三篇 </w:t>
      </w:r>
      <w:bookmarkEnd w:id="63"/>
      <w:bookmarkEnd w:id="64"/>
      <w:bookmarkEnd w:id="65"/>
      <w:bookmarkEnd w:id="66"/>
      <w:bookmarkEnd w:id="67"/>
      <w:bookmarkEnd w:id="68"/>
      <w:bookmarkStart w:id="70" w:name="_Toc16388"/>
      <w:bookmarkStart w:id="71" w:name="_Toc22146"/>
      <w:bookmarkStart w:id="72" w:name="_Toc6135"/>
      <w:bookmarkStart w:id="73" w:name="_Toc19749"/>
      <w:bookmarkStart w:id="74" w:name="_Toc20718"/>
      <w:r>
        <w:rPr>
          <w:rFonts w:hint="default" w:ascii="Times New Roman" w:hAnsi="Times New Roman" w:cs="Times New Roman"/>
        </w:rPr>
        <w:t xml:space="preserve"> 夯实基础 </w:t>
      </w:r>
      <w:bookmarkEnd w:id="70"/>
      <w:bookmarkEnd w:id="71"/>
      <w:bookmarkEnd w:id="72"/>
      <w:bookmarkEnd w:id="73"/>
      <w:bookmarkEnd w:id="74"/>
      <w:r>
        <w:rPr>
          <w:rFonts w:hint="default" w:ascii="Times New Roman" w:hAnsi="Times New Roman" w:cs="Times New Roman"/>
        </w:rPr>
        <w:t>巩固拓展脱贫攻坚成果</w:t>
      </w:r>
      <w:bookmarkEnd w:id="69"/>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4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严格落实</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四个不摘</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要求，保持主要帮扶政策总体稳定，加强防止返贫动态监测和帮扶，巩固“三保障”和安全饮水成果，抓好易地搬迁后续扶持，强化兜底保障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完善扶贫项目资产管理长效机制，切实巩固拓展脱贫攻坚成果。</w:t>
      </w:r>
      <w:bookmarkStart w:id="75" w:name="_Toc4566"/>
      <w:bookmarkStart w:id="76" w:name="_Toc5065"/>
      <w:bookmarkStart w:id="77" w:name="_Toc31312"/>
    </w:p>
    <w:p>
      <w:pPr>
        <w:keepNext w:val="0"/>
        <w:keepLines w:val="0"/>
        <w:pageBreakBefore w:val="0"/>
        <w:widowControl w:val="0"/>
        <w:kinsoku/>
        <w:wordWrap/>
        <w:overflowPunct/>
        <w:topLinePunct w:val="0"/>
        <w:autoSpaceDE/>
        <w:autoSpaceDN/>
        <w:bidi w:val="0"/>
        <w:adjustRightInd/>
        <w:snapToGrid/>
        <w:spacing w:line="620" w:lineRule="exact"/>
        <w:ind w:left="40"/>
        <w:jc w:val="both"/>
        <w:textAlignment w:val="auto"/>
        <w:rPr>
          <w:rFonts w:hint="default" w:ascii="Times New Roman" w:hAnsi="Times New Roman" w:eastAsia="方正仿宋_GBK" w:cs="Times New Roman"/>
          <w:sz w:val="32"/>
          <w:szCs w:val="32"/>
          <w:lang w:val="en-US" w:eastAsia="zh-CN"/>
        </w:rPr>
      </w:pPr>
    </w:p>
    <w:p>
      <w:pPr>
        <w:pStyle w:val="3"/>
        <w:pageBreakBefore w:val="0"/>
        <w:widowControl w:val="0"/>
        <w:kinsoku/>
        <w:wordWrap/>
        <w:topLinePunct w:val="0"/>
        <w:autoSpaceDE/>
        <w:autoSpaceDN/>
        <w:bidi w:val="0"/>
        <w:spacing w:line="620" w:lineRule="exact"/>
        <w:textAlignment w:val="auto"/>
        <w:rPr>
          <w:rFonts w:hint="default" w:ascii="Times New Roman" w:hAnsi="Times New Roman" w:cs="Times New Roman"/>
          <w:lang w:val="en-US" w:eastAsia="zh-CN"/>
        </w:rPr>
      </w:pPr>
      <w:bookmarkStart w:id="78" w:name="_Toc23255"/>
      <w:r>
        <w:rPr>
          <w:rFonts w:hint="default" w:ascii="Times New Roman" w:hAnsi="Times New Roman" w:cs="Times New Roman"/>
          <w:lang w:val="en-US" w:eastAsia="zh-CN"/>
        </w:rPr>
        <w:t>第一章 保持主要帮扶政策总体稳定</w:t>
      </w:r>
      <w:bookmarkEnd w:id="78"/>
    </w:p>
    <w:p>
      <w:pPr>
        <w:keepNext w:val="0"/>
        <w:keepLines w:val="0"/>
        <w:pageBreakBefore w:val="0"/>
        <w:widowControl w:val="0"/>
        <w:kinsoku/>
        <w:wordWrap/>
        <w:overflowPunct/>
        <w:topLinePunct w:val="0"/>
        <w:autoSpaceDE/>
        <w:autoSpaceDN/>
        <w:bidi w:val="0"/>
        <w:adjustRightInd/>
        <w:snapToGrid/>
        <w:spacing w:line="620" w:lineRule="exact"/>
        <w:ind w:left="40"/>
        <w:jc w:val="both"/>
        <w:textAlignment w:val="auto"/>
        <w:rPr>
          <w:rFonts w:hint="default" w:ascii="Times New Roman" w:hAnsi="Times New Roman" w:eastAsia="黑体" w:cs="Times New Roman"/>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4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过渡期内严格落实“四个不摘”要求，保持现有帮扶政策、资金支持、帮扶力量总体稳定。现有帮扶政策逐项分类优化调整，合理把握调整节奏、力度、时限，逐步实现由集中资源支持脱贫攻坚向全面推进乡村振兴平稳过渡。兜底救助类政策保持稳定。落实好教育、医疗、住房、饮水等民生保障普惠性政策，根据脱贫人口实际困难给予适度倾斜与全面推进乡村振兴加强衔接。</w:t>
      </w:r>
    </w:p>
    <w:p>
      <w:pPr>
        <w:keepNext w:val="0"/>
        <w:keepLines w:val="0"/>
        <w:pageBreakBefore w:val="0"/>
        <w:widowControl w:val="0"/>
        <w:kinsoku/>
        <w:wordWrap/>
        <w:overflowPunct/>
        <w:topLinePunct w:val="0"/>
        <w:autoSpaceDE/>
        <w:autoSpaceDN/>
        <w:bidi w:val="0"/>
        <w:adjustRightInd/>
        <w:snapToGrid/>
        <w:spacing w:line="620" w:lineRule="exact"/>
        <w:ind w:left="40" w:firstLine="640" w:firstLineChars="200"/>
        <w:jc w:val="both"/>
        <w:textAlignment w:val="auto"/>
        <w:rPr>
          <w:rFonts w:hint="default" w:ascii="Times New Roman" w:hAnsi="Times New Roman" w:eastAsia="方正仿宋_GBK" w:cs="Times New Roman"/>
          <w:sz w:val="32"/>
          <w:szCs w:val="32"/>
          <w:lang w:val="en-US" w:eastAsia="zh-CN"/>
        </w:rPr>
      </w:pPr>
    </w:p>
    <w:p>
      <w:pPr>
        <w:pStyle w:val="3"/>
        <w:pageBreakBefore w:val="0"/>
        <w:widowControl w:val="0"/>
        <w:kinsoku/>
        <w:wordWrap/>
        <w:topLinePunct w:val="0"/>
        <w:autoSpaceDE/>
        <w:autoSpaceDN/>
        <w:bidi w:val="0"/>
        <w:spacing w:line="620" w:lineRule="exact"/>
        <w:textAlignment w:val="auto"/>
        <w:rPr>
          <w:rFonts w:hint="default" w:ascii="Times New Roman" w:hAnsi="Times New Roman" w:cs="Times New Roman"/>
          <w:lang w:val="en-US" w:eastAsia="zh-CN"/>
        </w:rPr>
      </w:pPr>
      <w:bookmarkStart w:id="79" w:name="_Toc23428"/>
      <w:r>
        <w:rPr>
          <w:rFonts w:hint="default" w:ascii="Times New Roman" w:hAnsi="Times New Roman" w:cs="Times New Roman"/>
          <w:lang w:val="en-US" w:eastAsia="zh-CN"/>
        </w:rPr>
        <w:t>第二章 加强防止返贫致贫监测和帮扶</w:t>
      </w:r>
      <w:bookmarkEnd w:id="79"/>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40" w:leftChars="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4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严守不发生规模性返贫底线，统筹政府、市场和社会资源，建立防止返贫动态监测和帮扶机制，巩固拓展脱贫攻坚成果。</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40" w:leftChars="0" w:firstLine="640"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第一节 健全防止返贫动态监测机制</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4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合理确定监测范围，以家庭为单位，监测脱贫不稳定户、边缘易致贫户，以及因学因病因灾因意外等刚性支出较大或收入大幅缩减导致其基本生活出现严重困难户，重点监测其收入支出状况、“两不愁三保障”及饮水安全状况。宣传推广</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农户返贫或致贫风险自主申报二维码</w:t>
      </w:r>
      <w:r>
        <w:rPr>
          <w:rFonts w:hint="default" w:ascii="Times New Roman" w:hAnsi="Times New Roman" w:eastAsia="方正仿宋_GBK" w:cs="Times New Roman"/>
          <w:sz w:val="32"/>
          <w:szCs w:val="32"/>
          <w:lang w:val="en-US" w:eastAsia="zh-CN"/>
        </w:rPr>
        <w:t>“防贫申报”政策，建立健全易返贫致贫人口快速发现和响应机制，分层分类及时纳入监测对象，及时落实针对性帮扶政策措施。健全防止返贫大数据监测平台，加强相关部门、单位数据共享和对接，充分利用先进技术手段提升监测准确性，进一步完善基础数据库。</w:t>
      </w:r>
      <w:r>
        <w:rPr>
          <w:rFonts w:hint="default" w:ascii="Times New Roman" w:hAnsi="Times New Roman" w:eastAsia="方正仿宋_GBK" w:cs="Times New Roman"/>
          <w:spacing w:val="6"/>
          <w:sz w:val="32"/>
          <w:szCs w:val="32"/>
        </w:rPr>
        <w:t>与</w:t>
      </w:r>
      <w:r>
        <w:rPr>
          <w:rFonts w:hint="default" w:ascii="Times New Roman" w:hAnsi="Times New Roman" w:eastAsia="方正仿宋_GBK" w:cs="Times New Roman"/>
          <w:spacing w:val="6"/>
          <w:sz w:val="32"/>
          <w:szCs w:val="32"/>
          <w:lang w:val="en-US" w:eastAsia="zh-CN"/>
        </w:rPr>
        <w:t>村两委</w:t>
      </w:r>
      <w:r>
        <w:rPr>
          <w:rFonts w:hint="default" w:ascii="Times New Roman" w:hAnsi="Times New Roman" w:eastAsia="方正仿宋_GBK" w:cs="Times New Roman"/>
          <w:spacing w:val="6"/>
          <w:sz w:val="32"/>
          <w:szCs w:val="32"/>
        </w:rPr>
        <w:t>入户排查紧密衔接，由村第一书记统筹各方力量日常帮扶走访，常态化开展监测，排查风险隐患</w:t>
      </w:r>
      <w:r>
        <w:rPr>
          <w:rFonts w:hint="default"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利用媒体、信访、政务信箱、公共网络等渠道，收集风险预警线索，并及时对相关线索进行核实确认。</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40" w:leftChars="0" w:firstLine="640"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第二节 健全防止返贫动态管理与帮扶机制</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40" w:leftChars="0" w:firstLine="640" w:firstLineChars="200"/>
        <w:jc w:val="both"/>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z w:val="32"/>
          <w:szCs w:val="32"/>
          <w:lang w:val="en-US" w:eastAsia="zh-CN"/>
        </w:rPr>
        <w:t>进一步细化完善农户自主申报、基层干部排查、部门筛查预警等相结合的易返贫致贫人口发现和响应机制，实施监测对象动态管理，坚持预防性措施和事后帮扶相结合，精准分析返贫致贫原因，采取有针对性的帮扶措施。</w:t>
      </w:r>
      <w:r>
        <w:rPr>
          <w:rFonts w:hint="default" w:ascii="Times New Roman" w:hAnsi="Times New Roman" w:eastAsia="方正仿宋_GBK" w:cs="Times New Roman"/>
          <w:spacing w:val="6"/>
          <w:sz w:val="32"/>
          <w:szCs w:val="32"/>
        </w:rPr>
        <w:t>坚持预防措施和事后帮扶相结合，可以使用行业政策、财政衔接推进乡村振兴补助资金等，对所有监测对象开展精准帮扶。按照缺什么补什么的原则，根据监测对象的风险类别、发展需求等开展针对性帮扶</w:t>
      </w:r>
      <w:r>
        <w:rPr>
          <w:rFonts w:hint="default"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rPr>
        <w:t>对风险单一的实施单项措施，防止陷入福利陷阱；对风险复杂多样的，因户施策落实综合性帮扶；对劳动能力的，坚持开发式帮扶方针，促进稳定增收；对无劳动能力或部分丧失劳动能力且无法通过产业就业获得稳定收入的，纳入农村低保或特困人员救助供养范围，做好兜底保障；对内生动力不足的，持续扶志扶智，激发内生动力，增强发展能力。</w:t>
      </w:r>
    </w:p>
    <w:p>
      <w:pPr>
        <w:pageBreakBefore w:val="0"/>
        <w:widowControl w:val="0"/>
        <w:kinsoku/>
        <w:wordWrap/>
        <w:topLinePunct w:val="0"/>
        <w:autoSpaceDE/>
        <w:autoSpaceDN/>
        <w:bidi w:val="0"/>
        <w:spacing w:line="620" w:lineRule="exact"/>
        <w:textAlignment w:val="auto"/>
        <w:rPr>
          <w:rFonts w:hint="default" w:ascii="Times New Roman" w:hAnsi="Times New Roman" w:eastAsia="黑体" w:cs="Times New Roman"/>
          <w:sz w:val="36"/>
          <w:szCs w:val="36"/>
        </w:rPr>
      </w:pPr>
      <w:bookmarkStart w:id="80" w:name="_Toc32010"/>
    </w:p>
    <w:p>
      <w:pPr>
        <w:pStyle w:val="3"/>
        <w:pageBreakBefore w:val="0"/>
        <w:widowControl w:val="0"/>
        <w:kinsoku/>
        <w:wordWrap/>
        <w:topLinePunct w:val="0"/>
        <w:autoSpaceDE/>
        <w:autoSpaceDN/>
        <w:bidi w:val="0"/>
        <w:spacing w:line="620" w:lineRule="exact"/>
        <w:textAlignment w:val="auto"/>
        <w:rPr>
          <w:rFonts w:hint="default" w:ascii="Times New Roman" w:hAnsi="Times New Roman" w:cs="Times New Roman"/>
        </w:rPr>
      </w:pPr>
      <w:bookmarkStart w:id="81" w:name="_Toc7262"/>
      <w:r>
        <w:rPr>
          <w:rFonts w:hint="default" w:ascii="Times New Roman" w:hAnsi="Times New Roman" w:cs="Times New Roman"/>
        </w:rPr>
        <w:t>第</w:t>
      </w:r>
      <w:r>
        <w:rPr>
          <w:rFonts w:hint="default" w:ascii="Times New Roman" w:hAnsi="Times New Roman" w:cs="Times New Roman"/>
          <w:lang w:eastAsia="zh-CN"/>
        </w:rPr>
        <w:t>三</w:t>
      </w:r>
      <w:r>
        <w:rPr>
          <w:rFonts w:hint="default" w:ascii="Times New Roman" w:hAnsi="Times New Roman" w:cs="Times New Roman"/>
        </w:rPr>
        <w:t xml:space="preserve">章 </w:t>
      </w:r>
      <w:bookmarkEnd w:id="80"/>
      <w:r>
        <w:rPr>
          <w:rFonts w:hint="default" w:ascii="Times New Roman" w:hAnsi="Times New Roman" w:cs="Times New Roman"/>
        </w:rPr>
        <w:t>巩固“三保障”和安全饮水成果</w:t>
      </w:r>
      <w:bookmarkEnd w:id="81"/>
    </w:p>
    <w:p>
      <w:pPr>
        <w:pageBreakBefore w:val="0"/>
        <w:widowControl w:val="0"/>
        <w:kinsoku/>
        <w:wordWrap/>
        <w:topLinePunct w:val="0"/>
        <w:autoSpaceDE/>
        <w:autoSpaceDN/>
        <w:bidi w:val="0"/>
        <w:spacing w:line="620" w:lineRule="exact"/>
        <w:textAlignment w:val="auto"/>
        <w:rPr>
          <w:rFonts w:hint="default" w:ascii="Times New Roman" w:hAnsi="Times New Roman" w:eastAsia="黑体" w:cs="Times New Roman"/>
          <w:sz w:val="36"/>
          <w:szCs w:val="36"/>
        </w:rPr>
      </w:pPr>
    </w:p>
    <w:bookmarkEnd w:id="75"/>
    <w:bookmarkEnd w:id="76"/>
    <w:bookmarkEnd w:id="77"/>
    <w:p>
      <w:pPr>
        <w:pageBreakBefore w:val="0"/>
        <w:widowControl w:val="0"/>
        <w:kinsoku/>
        <w:wordWrap/>
        <w:topLinePunct w:val="0"/>
        <w:autoSpaceDE/>
        <w:autoSpaceDN/>
        <w:bidi w:val="0"/>
        <w:spacing w:line="620" w:lineRule="exact"/>
        <w:ind w:firstLine="480" w:firstLineChars="150"/>
        <w:jc w:val="both"/>
        <w:textAlignment w:val="auto"/>
        <w:rPr>
          <w:rFonts w:hint="default" w:ascii="Times New Roman" w:hAnsi="Times New Roman" w:eastAsia="方正仿宋_GBK" w:cs="Times New Roman"/>
          <w:sz w:val="32"/>
          <w:szCs w:val="32"/>
          <w:highlight w:val="none"/>
        </w:rPr>
      </w:pPr>
      <w:bookmarkStart w:id="82" w:name="_Toc14786"/>
      <w:bookmarkStart w:id="83" w:name="_Toc1299"/>
      <w:bookmarkStart w:id="84" w:name="_Toc6472"/>
      <w:r>
        <w:rPr>
          <w:rFonts w:hint="default" w:ascii="Times New Roman" w:hAnsi="Times New Roman" w:eastAsia="方正仿宋_GBK" w:cs="Times New Roman"/>
          <w:sz w:val="32"/>
          <w:szCs w:val="32"/>
          <w:highlight w:val="none"/>
        </w:rPr>
        <w:t>针对薄弱环节，坚持问题导向，明确责任，把握保障标准，统筹整合资源，切实巩固</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两不愁三保障</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成果。</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highlight w:val="none"/>
          <w:lang w:eastAsia="zh-CN"/>
        </w:rPr>
        <w:t>第一节</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rPr>
        <w:t>健全完善教育帮扶长效机制</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outlineLvl w:val="9"/>
        <w:rPr>
          <w:rFonts w:hint="default" w:ascii="Times New Roman" w:hAnsi="Times New Roman" w:eastAsia="方正仿宋_GBK" w:cs="Times New Roman"/>
          <w:b w:val="0"/>
          <w:bCs w:val="0"/>
          <w:sz w:val="32"/>
          <w:szCs w:val="32"/>
          <w:lang w:val="en-US" w:eastAsia="zh-CN" w:bidi="zh-CN"/>
        </w:rPr>
      </w:pPr>
      <w:r>
        <w:rPr>
          <w:rFonts w:hint="default" w:ascii="Times New Roman" w:hAnsi="Times New Roman" w:eastAsia="方正仿宋_GBK" w:cs="Times New Roman"/>
          <w:b w:val="0"/>
          <w:bCs w:val="0"/>
          <w:sz w:val="32"/>
          <w:szCs w:val="32"/>
          <w:lang w:val="en-US" w:eastAsia="zh-CN" w:bidi="zh-CN"/>
        </w:rPr>
        <w:t>健全义务教育控辍保学工作机制，确保除身体原因不具备学习条件外，脱贫家庭义务教育阶段适龄儿童少年不失学辍学。高度重视教育帮扶，阻断贫困“代际传递源”，全面落实各阶段教育资助政策，严格落实控辍保学“双线”责任制，坚定不移落实“三区三州”教育脱贫攻坚政策，确保贫困学生不因贫失学辍学。构建控辍保学动态监测机制，更好实施“一生一策”精准教育帮扶。以农村、边远、脱贫地区、民族地区和流动人口相对集中地区为重点监测地区，以初中为重点监测学段，以留守、残疾、家庭经济困难适龄儿童少年为重点监测群体，扎实做好劝返复学工作。继续落实</w:t>
      </w:r>
      <w:r>
        <w:rPr>
          <w:rFonts w:hint="default" w:ascii="Times New Roman" w:hAnsi="Times New Roman" w:eastAsia="方正仿宋_GBK" w:cs="Times New Roman"/>
          <w:b w:val="0"/>
          <w:bCs w:val="0"/>
          <w:sz w:val="32"/>
          <w:szCs w:val="32"/>
          <w:lang w:val="zh-CN" w:eastAsia="zh-CN" w:bidi="zh-CN"/>
        </w:rPr>
        <w:t>“</w:t>
      </w:r>
      <w:r>
        <w:rPr>
          <w:rFonts w:hint="default" w:ascii="Times New Roman" w:hAnsi="Times New Roman" w:eastAsia="方正仿宋_GBK" w:cs="Times New Roman"/>
          <w:b w:val="0"/>
          <w:bCs w:val="0"/>
          <w:sz w:val="32"/>
          <w:szCs w:val="32"/>
          <w:lang w:val="en-US" w:eastAsia="zh-CN" w:bidi="zh-CN"/>
        </w:rPr>
        <w:t>三</w:t>
      </w:r>
      <w:r>
        <w:rPr>
          <w:rFonts w:hint="default" w:ascii="Times New Roman" w:hAnsi="Times New Roman" w:eastAsia="方正仿宋_GBK" w:cs="Times New Roman"/>
          <w:b w:val="0"/>
          <w:bCs w:val="0"/>
          <w:sz w:val="32"/>
          <w:szCs w:val="32"/>
          <w:lang w:val="zh-CN" w:eastAsia="zh-CN" w:bidi="zh-CN"/>
        </w:rPr>
        <w:t>免</w:t>
      </w:r>
      <w:r>
        <w:rPr>
          <w:rFonts w:hint="default" w:ascii="Times New Roman" w:hAnsi="Times New Roman" w:eastAsia="方正仿宋_GBK" w:cs="Times New Roman"/>
          <w:b w:val="0"/>
          <w:bCs w:val="0"/>
          <w:sz w:val="32"/>
          <w:szCs w:val="32"/>
          <w:lang w:val="en-US" w:eastAsia="zh-CN" w:bidi="zh-CN"/>
        </w:rPr>
        <w:t>一补</w:t>
      </w:r>
      <w:r>
        <w:rPr>
          <w:rFonts w:hint="default" w:ascii="Times New Roman" w:hAnsi="Times New Roman" w:eastAsia="方正仿宋_GBK" w:cs="Times New Roman"/>
          <w:b w:val="0"/>
          <w:bCs w:val="0"/>
          <w:sz w:val="32"/>
          <w:szCs w:val="32"/>
          <w:lang w:val="zh-CN" w:eastAsia="zh-CN" w:bidi="zh-CN"/>
        </w:rPr>
        <w:t>”</w:t>
      </w:r>
      <w:r>
        <w:rPr>
          <w:rFonts w:hint="default" w:ascii="Times New Roman" w:hAnsi="Times New Roman" w:eastAsia="方正仿宋_GBK" w:cs="Times New Roman"/>
          <w:b w:val="0"/>
          <w:bCs w:val="0"/>
          <w:sz w:val="32"/>
          <w:szCs w:val="32"/>
          <w:lang w:val="en-US" w:eastAsia="zh-CN" w:bidi="zh-CN"/>
        </w:rPr>
        <w:t>政策和低保、特困、</w:t>
      </w:r>
      <w:r>
        <w:rPr>
          <w:rFonts w:hint="default" w:ascii="Times New Roman" w:hAnsi="Times New Roman" w:eastAsia="方正仿宋_GBK" w:cs="Times New Roman"/>
          <w:b w:val="0"/>
          <w:bCs w:val="0"/>
          <w:sz w:val="32"/>
          <w:szCs w:val="32"/>
          <w:highlight w:val="none"/>
          <w:lang w:val="en-US" w:eastAsia="zh-CN" w:bidi="zh-CN"/>
        </w:rPr>
        <w:t>残疾、防止返贫监测对象等义务教育阶段家庭经济困难学生资助政策。</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val="en-US" w:eastAsia="zh-CN"/>
        </w:rPr>
        <w:t xml:space="preserve">第二节 </w:t>
      </w:r>
      <w:r>
        <w:rPr>
          <w:rFonts w:hint="default" w:ascii="Times New Roman" w:hAnsi="Times New Roman" w:eastAsia="方正仿宋_GBK" w:cs="Times New Roman"/>
          <w:b/>
          <w:bCs/>
          <w:sz w:val="32"/>
          <w:szCs w:val="32"/>
        </w:rPr>
        <w:t>完善重点群体健康保障机制</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bidi="zh-CN"/>
        </w:rPr>
      </w:pPr>
      <w:r>
        <w:rPr>
          <w:rFonts w:hint="default" w:ascii="Times New Roman" w:hAnsi="Times New Roman" w:eastAsia="方正仿宋_GBK" w:cs="Times New Roman"/>
          <w:b w:val="0"/>
          <w:bCs w:val="0"/>
          <w:sz w:val="32"/>
          <w:szCs w:val="32"/>
          <w:lang w:val="en-US" w:eastAsia="zh-CN" w:bidi="zh-CN"/>
        </w:rPr>
        <w:t>继续完善医疗保障制度体系，基本医保、大病保险、医疗救助在对脱贫人口实现100%覆盖基础上，进一步扩展医疗保障在农村地区覆盖范围，确保逐步实现对农村居民的全覆盖。紧盯基本医疗保障的薄弱环节，强化基本医疗保障；以提高农村贫困人口受益水平为着力点，整合现有各类医疗资源，实现共建共享；进一步深化医疗卫生体制机制改革，不断提升医疗保障水平；加强医疗人才队伍建设，增设医疗人员编制，尤其是提升乡村医生的待遇条件，进一步保障乡村医疗服务水平。</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eastAsia="zh-CN"/>
        </w:rPr>
        <w:t>第三节</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完善住房安全保障长效机制</w:t>
      </w:r>
    </w:p>
    <w:p>
      <w:pPr>
        <w:pageBreakBefore w:val="0"/>
        <w:widowControl w:val="0"/>
        <w:kinsoku/>
        <w:wordWrap/>
        <w:topLinePunct w:val="0"/>
        <w:autoSpaceDE/>
        <w:autoSpaceDN/>
        <w:bidi w:val="0"/>
        <w:spacing w:line="620" w:lineRule="exact"/>
        <w:ind w:firstLine="480" w:firstLineChars="15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bidi="zh-CN"/>
        </w:rPr>
        <w:t>住房安全要实现从解决存量问题到解决动态增量、变量问题的转变。强化动态监测、开展农房抗震改造，对摸排出的抗震等级不达标的农户住房逐步进行改造，有力解决住房安全保障水平不高问题。</w:t>
      </w:r>
    </w:p>
    <w:p>
      <w:pPr>
        <w:pageBreakBefore w:val="0"/>
        <w:widowControl w:val="0"/>
        <w:kinsoku/>
        <w:wordWrap/>
        <w:topLinePunct w:val="0"/>
        <w:autoSpaceDE/>
        <w:autoSpaceDN/>
        <w:bidi w:val="0"/>
        <w:spacing w:line="620" w:lineRule="exact"/>
        <w:ind w:firstLine="480" w:firstLineChars="150"/>
        <w:jc w:val="both"/>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eastAsia="zh-CN"/>
        </w:rPr>
        <w:t>第四节</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完善安全饮水保障长效机制</w:t>
      </w:r>
    </w:p>
    <w:p>
      <w:pPr>
        <w:pageBreakBefore w:val="0"/>
        <w:widowControl w:val="0"/>
        <w:kinsoku/>
        <w:wordWrap/>
        <w:topLinePunct w:val="0"/>
        <w:autoSpaceDE/>
        <w:autoSpaceDN/>
        <w:bidi w:val="0"/>
        <w:spacing w:line="620" w:lineRule="exact"/>
        <w:ind w:firstLine="480" w:firstLineChars="15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持续推进农村饮水安全巩固提升，建立健全饮水工程管护机制，保障运行和效益长久发挥，强化项目实施，提高供水保障水平，积极争取自治区、地区专项资金，并整合县级财政资金，全力实施农村饮水安全巩固提升工程，对老旧饮水管网进行维修改造，保障群众饮水安全。启动农村饮水安全工程现状摸底工作，安照乡村振兴梯次推进总体部署，实施管网的延伸和更换。其次，建设智慧化水厂,实现水利业务系统的控制智能化、数据资源化、管理精确化、决策智慧化,从而达到运营更高效、管理更科学和服务更优质。同时以建立合理水价机制为重点，全面建立长效运行管理机制，从而提升供水管理服务水平”。精心组织检测，保障水质安全，成立县水质检测中心，严格按照行业规范要求开展水质检测工作。加强制度建设，完善运行机制，按照先建机制，后建工程，建管并重的要求，进一步贯彻水利部《关于建立农村饮水安全管理责任体系的通知》，明确县水利工作站为农村饮水安全工程管护专管机构，明确管护责任，落实管护主体，建立县、乡、村三级管理体系，确保每一处农村饮水工程建得成、管得好、用得起、长受益。建设智慧化水厂,实现水利业务系统的控制智能化、数据资源化、管理精确化、决策智慧化,从而达到运营更高效、管理更科学和服务更优质。同时以建立合理水价机制为重点，全面建立长效运行管理机制，从而提升供水管理服务水平。</w:t>
      </w:r>
    </w:p>
    <w:p>
      <w:pPr>
        <w:pageBreakBefore w:val="0"/>
        <w:widowControl w:val="0"/>
        <w:kinsoku/>
        <w:wordWrap/>
        <w:topLinePunct w:val="0"/>
        <w:autoSpaceDE/>
        <w:autoSpaceDN/>
        <w:bidi w:val="0"/>
        <w:spacing w:line="620" w:lineRule="exact"/>
        <w:ind w:firstLine="480" w:firstLineChars="150"/>
        <w:jc w:val="both"/>
        <w:textAlignment w:val="auto"/>
        <w:rPr>
          <w:rFonts w:hint="default" w:ascii="Times New Roman" w:hAnsi="Times New Roman" w:eastAsia="方正仿宋_GBK" w:cs="Times New Roman"/>
          <w:sz w:val="32"/>
          <w:szCs w:val="32"/>
        </w:rPr>
      </w:pPr>
    </w:p>
    <w:p>
      <w:pPr>
        <w:pStyle w:val="3"/>
        <w:pageBreakBefore w:val="0"/>
        <w:widowControl w:val="0"/>
        <w:kinsoku/>
        <w:wordWrap/>
        <w:topLinePunct w:val="0"/>
        <w:autoSpaceDE/>
        <w:autoSpaceDN/>
        <w:bidi w:val="0"/>
        <w:spacing w:line="620" w:lineRule="exact"/>
        <w:textAlignment w:val="auto"/>
        <w:rPr>
          <w:rFonts w:hint="default" w:ascii="Times New Roman" w:hAnsi="Times New Roman" w:cs="Times New Roman"/>
        </w:rPr>
      </w:pPr>
      <w:bookmarkStart w:id="85" w:name="_Toc3519"/>
      <w:bookmarkStart w:id="86" w:name="_Toc11101"/>
      <w:r>
        <w:rPr>
          <w:rFonts w:hint="default" w:ascii="Times New Roman" w:hAnsi="Times New Roman" w:cs="Times New Roman"/>
        </w:rPr>
        <w:t>第</w:t>
      </w:r>
      <w:r>
        <w:rPr>
          <w:rFonts w:hint="default" w:ascii="Times New Roman" w:hAnsi="Times New Roman" w:cs="Times New Roman"/>
          <w:lang w:eastAsia="zh-CN"/>
        </w:rPr>
        <w:t>四</w:t>
      </w:r>
      <w:r>
        <w:rPr>
          <w:rFonts w:hint="default" w:ascii="Times New Roman" w:hAnsi="Times New Roman" w:cs="Times New Roman"/>
        </w:rPr>
        <w:t xml:space="preserve">章 </w:t>
      </w:r>
      <w:bookmarkEnd w:id="85"/>
      <w:r>
        <w:rPr>
          <w:rFonts w:hint="default" w:ascii="Times New Roman" w:hAnsi="Times New Roman" w:cs="Times New Roman"/>
        </w:rPr>
        <w:t>抓好易地搬迁后续扶持</w:t>
      </w:r>
      <w:bookmarkEnd w:id="86"/>
    </w:p>
    <w:p>
      <w:pPr>
        <w:pageBreakBefore w:val="0"/>
        <w:widowControl w:val="0"/>
        <w:kinsoku/>
        <w:wordWrap/>
        <w:topLinePunct w:val="0"/>
        <w:autoSpaceDE/>
        <w:autoSpaceDN/>
        <w:bidi w:val="0"/>
        <w:spacing w:line="620" w:lineRule="exact"/>
        <w:jc w:val="center"/>
        <w:textAlignment w:val="auto"/>
        <w:rPr>
          <w:rFonts w:hint="default" w:ascii="Times New Roman" w:hAnsi="Times New Roman" w:eastAsia="黑体" w:cs="Times New Roman"/>
          <w:sz w:val="36"/>
          <w:szCs w:val="36"/>
        </w:rPr>
      </w:pPr>
    </w:p>
    <w:p>
      <w:pPr>
        <w:pageBreakBefore w:val="0"/>
        <w:widowControl w:val="0"/>
        <w:kinsoku/>
        <w:wordWrap/>
        <w:topLinePunct w:val="0"/>
        <w:autoSpaceDE/>
        <w:autoSpaceDN/>
        <w:bidi w:val="0"/>
        <w:spacing w:line="620" w:lineRule="exact"/>
        <w:ind w:firstLine="640"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 xml:space="preserve">第一节 </w:t>
      </w:r>
      <w:r>
        <w:rPr>
          <w:rFonts w:hint="default" w:ascii="Times New Roman" w:hAnsi="Times New Roman" w:eastAsia="方正仿宋_GBK" w:cs="Times New Roman"/>
          <w:b/>
          <w:bCs/>
          <w:sz w:val="32"/>
          <w:szCs w:val="32"/>
        </w:rPr>
        <w:t>完善安置区配套设施建设</w:t>
      </w:r>
    </w:p>
    <w:p>
      <w:pPr>
        <w:pageBreakBefore w:val="0"/>
        <w:widowControl w:val="0"/>
        <w:kinsoku/>
        <w:wordWrap/>
        <w:topLinePunct w:val="0"/>
        <w:autoSpaceDE/>
        <w:autoSpaceDN/>
        <w:bidi w:val="0"/>
        <w:spacing w:line="62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sz w:val="32"/>
          <w:szCs w:val="32"/>
          <w:lang w:val="en-US" w:eastAsia="zh-CN"/>
        </w:rPr>
        <w:t>贯彻改善发展理念，完善安置区设施配套建设。</w:t>
      </w:r>
      <w:r>
        <w:rPr>
          <w:rFonts w:hint="default" w:ascii="Times New Roman" w:hAnsi="Times New Roman" w:eastAsia="方正仿宋_GBK" w:cs="Times New Roman"/>
          <w:sz w:val="32"/>
          <w:szCs w:val="32"/>
          <w:lang w:val="en-US" w:eastAsia="zh-CN"/>
        </w:rPr>
        <w:t>支持城镇安置区供排水管网、垃圾污水处理、供气供暖等设施提档升级。支持安置区公共消防设施建设，统筹加强消防水源、消防站等基础设施和消防装备建设。持续改善安置区人居环境。加强安置区公共卫生设施建设和管护，结合乡村建设行动，支持农村安置区推进厕所革命，“小厕所、大民生”。做好庭院整治、庭院水系入户、大力发展庭院经济，实施绿化、亮化、硬化、净化工程。加强生活垃圾、污水处理基础设施配套，因地制宜开展生活污水收集和处理，确保搬迁群众住上新居所、过上新生活。</w:t>
      </w:r>
    </w:p>
    <w:p>
      <w:pPr>
        <w:pageBreakBefore w:val="0"/>
        <w:widowControl w:val="0"/>
        <w:kinsoku/>
        <w:wordWrap/>
        <w:topLinePunct w:val="0"/>
        <w:autoSpaceDE/>
        <w:autoSpaceDN/>
        <w:bidi w:val="0"/>
        <w:spacing w:line="620" w:lineRule="exact"/>
        <w:ind w:firstLine="640"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val="en-US" w:eastAsia="zh-CN"/>
        </w:rPr>
        <w:t xml:space="preserve">第二节 </w:t>
      </w:r>
      <w:r>
        <w:rPr>
          <w:rFonts w:hint="default" w:ascii="Times New Roman" w:hAnsi="Times New Roman" w:eastAsia="方正仿宋_GBK" w:cs="Times New Roman"/>
          <w:b/>
          <w:bCs/>
          <w:sz w:val="32"/>
          <w:szCs w:val="32"/>
        </w:rPr>
        <w:t>加强安置区产业培育</w:t>
      </w:r>
    </w:p>
    <w:p>
      <w:pPr>
        <w:pageBreakBefore w:val="0"/>
        <w:widowControl w:val="0"/>
        <w:kinsoku/>
        <w:wordWrap/>
        <w:topLinePunct w:val="0"/>
        <w:autoSpaceDE/>
        <w:autoSpaceDN/>
        <w:bidi w:val="0"/>
        <w:spacing w:line="62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sz w:val="32"/>
          <w:szCs w:val="32"/>
          <w:lang w:val="en-US" w:eastAsia="zh-CN"/>
        </w:rPr>
        <w:t>贯彻协调发展理念，推动后续产业可持续发展。</w:t>
      </w:r>
      <w:r>
        <w:rPr>
          <w:rFonts w:hint="default" w:ascii="Times New Roman" w:hAnsi="Times New Roman" w:eastAsia="方正仿宋_GBK" w:cs="Times New Roman"/>
          <w:sz w:val="32"/>
          <w:szCs w:val="32"/>
          <w:lang w:val="en-US" w:eastAsia="zh-CN"/>
        </w:rPr>
        <w:t>做大做强优势产业。将易地扶贫搬迁安置区产业发展纳入脱贫地区“十四五”特色产业发展相关规划。紧紧围绕地区“十大产业”发展布局，抓住5年过渡期政策，加快培育壮大优势产业。加强疆内疆外产业协作。依托现有区内协作和对口支援工作机制，加大招商引资力度，引导安置区所在地以多种方式与对口帮扶、支援地区合作，优先利用就近各类园区和卫星工厂。丰富拓展产品销售渠道。充分发挥消费帮扶政策作用。支持大型商贸旅游企业与安置区所在地建立长期稳定的产销合作关系，举办农特产品产销对接活动，打通安置区特色产品供应链条。</w:t>
      </w:r>
    </w:p>
    <w:p>
      <w:pPr>
        <w:pageBreakBefore w:val="0"/>
        <w:widowControl w:val="0"/>
        <w:kinsoku/>
        <w:wordWrap/>
        <w:topLinePunct w:val="0"/>
        <w:autoSpaceDE/>
        <w:autoSpaceDN/>
        <w:bidi w:val="0"/>
        <w:spacing w:line="620" w:lineRule="exact"/>
        <w:ind w:firstLine="640"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val="en-US" w:eastAsia="zh-CN"/>
        </w:rPr>
        <w:t xml:space="preserve">第三节 </w:t>
      </w:r>
      <w:r>
        <w:rPr>
          <w:rFonts w:hint="default" w:ascii="Times New Roman" w:hAnsi="Times New Roman" w:eastAsia="方正仿宋_GBK" w:cs="Times New Roman"/>
          <w:b/>
          <w:bCs/>
          <w:sz w:val="32"/>
          <w:szCs w:val="32"/>
        </w:rPr>
        <w:t>大力实施安置区就业帮扶</w:t>
      </w:r>
    </w:p>
    <w:p>
      <w:pPr>
        <w:pageBreakBefore w:val="0"/>
        <w:widowControl w:val="0"/>
        <w:kinsoku/>
        <w:wordWrap/>
        <w:topLinePunct w:val="0"/>
        <w:autoSpaceDE/>
        <w:autoSpaceDN/>
        <w:bidi w:val="0"/>
        <w:spacing w:line="62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sz w:val="32"/>
          <w:szCs w:val="32"/>
          <w:lang w:val="en-US" w:eastAsia="zh-CN"/>
        </w:rPr>
        <w:t>大力实施就业帮扶，</w:t>
      </w:r>
      <w:r>
        <w:rPr>
          <w:rFonts w:hint="default" w:ascii="Times New Roman" w:hAnsi="Times New Roman" w:eastAsia="方正仿宋_GBK" w:cs="Times New Roman"/>
          <w:sz w:val="32"/>
          <w:szCs w:val="32"/>
          <w:lang w:val="en-US" w:eastAsia="zh-CN"/>
        </w:rPr>
        <w:t>拓宽就地就近就业渠道。加大各项就业补助政策落实力度，在融资贷款等要素保障支持方面给予一定倾斜</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发挥以工代赈方式促进</w:t>
      </w:r>
      <w:r>
        <w:rPr>
          <w:rFonts w:hint="eastAsia" w:ascii="Times New Roman" w:hAnsi="Times New Roman" w:eastAsia="方正仿宋_GBK" w:cs="Times New Roman"/>
          <w:sz w:val="32"/>
          <w:szCs w:val="32"/>
          <w:lang w:val="en-US" w:eastAsia="zh-CN"/>
        </w:rPr>
        <w:t>劳动力</w:t>
      </w:r>
      <w:r>
        <w:rPr>
          <w:rFonts w:hint="default" w:ascii="Times New Roman" w:hAnsi="Times New Roman" w:eastAsia="方正仿宋_GBK" w:cs="Times New Roman"/>
          <w:sz w:val="32"/>
          <w:szCs w:val="32"/>
          <w:lang w:val="en-US" w:eastAsia="zh-CN"/>
        </w:rPr>
        <w:t>就业。</w:t>
      </w:r>
    </w:p>
    <w:p>
      <w:pPr>
        <w:pageBreakBefore w:val="0"/>
        <w:widowControl w:val="0"/>
        <w:kinsoku/>
        <w:wordWrap/>
        <w:topLinePunct w:val="0"/>
        <w:autoSpaceDE/>
        <w:autoSpaceDN/>
        <w:bidi w:val="0"/>
        <w:spacing w:line="620" w:lineRule="exact"/>
        <w:ind w:firstLine="640"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val="en-US" w:eastAsia="zh-CN"/>
        </w:rPr>
        <w:t xml:space="preserve">第四节 </w:t>
      </w:r>
      <w:r>
        <w:rPr>
          <w:rFonts w:hint="default" w:ascii="Times New Roman" w:hAnsi="Times New Roman" w:eastAsia="方正仿宋_GBK" w:cs="Times New Roman"/>
          <w:b/>
          <w:bCs/>
          <w:sz w:val="32"/>
          <w:szCs w:val="32"/>
        </w:rPr>
        <w:t>提升安置区公共服务保障水平</w:t>
      </w:r>
    </w:p>
    <w:p>
      <w:pPr>
        <w:pageBreakBefore w:val="0"/>
        <w:widowControl w:val="0"/>
        <w:kinsoku/>
        <w:wordWrap/>
        <w:topLinePunct w:val="0"/>
        <w:autoSpaceDE/>
        <w:autoSpaceDN/>
        <w:bidi w:val="0"/>
        <w:spacing w:line="62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sz w:val="32"/>
          <w:szCs w:val="32"/>
          <w:lang w:val="en-US" w:eastAsia="zh-CN"/>
        </w:rPr>
        <w:t>贯彻共享发展理念，推进安置区新型城镇化建设。</w:t>
      </w:r>
      <w:r>
        <w:rPr>
          <w:rFonts w:hint="default" w:ascii="Times New Roman" w:hAnsi="Times New Roman" w:eastAsia="方正仿宋_GBK" w:cs="Times New Roman"/>
          <w:sz w:val="32"/>
          <w:szCs w:val="32"/>
          <w:lang w:val="en-US" w:eastAsia="zh-CN"/>
        </w:rPr>
        <w:t>提升安置区公共服务保障水平。综合考虑安置区人口规模与迁入地公共服务供给状况，切实满足大中型安置区搬任群众对幼儿园、中小学、医院、社区卫生服务中心（站）、福利院、养老服务机构、综合性文化场所、大众健身全民健康活动场所等公共服务设施方面的需求。按照“快递进村工程”，加快推进安置区快递全覆盖，推动金融、电信、燃气、电力等公共事业和资源回收商业网点尽快覆盖到安置区。</w:t>
      </w:r>
    </w:p>
    <w:p>
      <w:pPr>
        <w:pageBreakBefore w:val="0"/>
        <w:widowControl w:val="0"/>
        <w:kinsoku/>
        <w:wordWrap/>
        <w:topLinePunct w:val="0"/>
        <w:autoSpaceDE/>
        <w:autoSpaceDN/>
        <w:bidi w:val="0"/>
        <w:spacing w:line="620" w:lineRule="exact"/>
        <w:jc w:val="center"/>
        <w:textAlignment w:val="auto"/>
        <w:rPr>
          <w:rFonts w:hint="default" w:ascii="Times New Roman" w:hAnsi="Times New Roman" w:eastAsia="黑体" w:cs="Times New Roman"/>
          <w:sz w:val="36"/>
          <w:szCs w:val="36"/>
        </w:rPr>
      </w:pPr>
    </w:p>
    <w:p>
      <w:pPr>
        <w:pageBreakBefore w:val="0"/>
        <w:widowControl w:val="0"/>
        <w:kinsoku/>
        <w:wordWrap/>
        <w:topLinePunct w:val="0"/>
        <w:autoSpaceDE/>
        <w:autoSpaceDN/>
        <w:bidi w:val="0"/>
        <w:spacing w:line="620" w:lineRule="exact"/>
        <w:jc w:val="center"/>
        <w:textAlignment w:val="auto"/>
        <w:rPr>
          <w:rFonts w:hint="default" w:ascii="Times New Roman" w:hAnsi="Times New Roman" w:eastAsia="黑体" w:cs="Times New Roman"/>
          <w:sz w:val="36"/>
          <w:szCs w:val="36"/>
        </w:rPr>
      </w:pPr>
    </w:p>
    <w:p>
      <w:pPr>
        <w:pageBreakBefore w:val="0"/>
        <w:widowControl w:val="0"/>
        <w:kinsoku/>
        <w:wordWrap/>
        <w:topLinePunct w:val="0"/>
        <w:autoSpaceDE/>
        <w:autoSpaceDN/>
        <w:bidi w:val="0"/>
        <w:spacing w:line="620" w:lineRule="exact"/>
        <w:jc w:val="center"/>
        <w:textAlignment w:val="auto"/>
        <w:rPr>
          <w:rFonts w:hint="default" w:ascii="Times New Roman" w:hAnsi="Times New Roman" w:eastAsia="黑体" w:cs="Times New Roman"/>
          <w:sz w:val="36"/>
          <w:szCs w:val="36"/>
        </w:rPr>
      </w:pPr>
    </w:p>
    <w:p>
      <w:pPr>
        <w:pageBreakBefore w:val="0"/>
        <w:widowControl w:val="0"/>
        <w:kinsoku/>
        <w:wordWrap/>
        <w:topLinePunct w:val="0"/>
        <w:autoSpaceDE/>
        <w:autoSpaceDN/>
        <w:bidi w:val="0"/>
        <w:spacing w:line="620" w:lineRule="exact"/>
        <w:jc w:val="center"/>
        <w:textAlignment w:val="auto"/>
        <w:rPr>
          <w:rFonts w:hint="default" w:ascii="Times New Roman" w:hAnsi="Times New Roman" w:eastAsia="黑体" w:cs="Times New Roman"/>
          <w:sz w:val="36"/>
          <w:szCs w:val="36"/>
        </w:rPr>
      </w:pPr>
    </w:p>
    <w:p>
      <w:pPr>
        <w:pageBreakBefore w:val="0"/>
        <w:widowControl w:val="0"/>
        <w:kinsoku/>
        <w:wordWrap/>
        <w:topLinePunct w:val="0"/>
        <w:autoSpaceDE/>
        <w:autoSpaceDN/>
        <w:bidi w:val="0"/>
        <w:spacing w:line="620" w:lineRule="exact"/>
        <w:jc w:val="center"/>
        <w:textAlignment w:val="auto"/>
        <w:rPr>
          <w:rFonts w:hint="default" w:ascii="Times New Roman" w:hAnsi="Times New Roman" w:eastAsia="黑体" w:cs="Times New Roman"/>
          <w:sz w:val="36"/>
          <w:szCs w:val="36"/>
        </w:rPr>
      </w:pPr>
    </w:p>
    <w:p>
      <w:pPr>
        <w:pageBreakBefore w:val="0"/>
        <w:widowControl w:val="0"/>
        <w:kinsoku/>
        <w:wordWrap/>
        <w:topLinePunct w:val="0"/>
        <w:autoSpaceDE/>
        <w:autoSpaceDN/>
        <w:bidi w:val="0"/>
        <w:spacing w:line="620" w:lineRule="exact"/>
        <w:jc w:val="center"/>
        <w:textAlignment w:val="auto"/>
        <w:rPr>
          <w:rFonts w:hint="default" w:ascii="Times New Roman" w:hAnsi="Times New Roman" w:eastAsia="黑体" w:cs="Times New Roman"/>
          <w:sz w:val="36"/>
          <w:szCs w:val="36"/>
        </w:rPr>
      </w:pPr>
    </w:p>
    <w:p>
      <w:pPr>
        <w:pageBreakBefore w:val="0"/>
        <w:widowControl w:val="0"/>
        <w:kinsoku/>
        <w:wordWrap/>
        <w:topLinePunct w:val="0"/>
        <w:autoSpaceDE/>
        <w:autoSpaceDN/>
        <w:bidi w:val="0"/>
        <w:spacing w:line="620" w:lineRule="exact"/>
        <w:jc w:val="center"/>
        <w:textAlignment w:val="auto"/>
        <w:rPr>
          <w:rFonts w:hint="default" w:ascii="Times New Roman" w:hAnsi="Times New Roman" w:eastAsia="黑体" w:cs="Times New Roman"/>
          <w:sz w:val="36"/>
          <w:szCs w:val="36"/>
        </w:rPr>
      </w:pPr>
    </w:p>
    <w:p>
      <w:pPr>
        <w:pageBreakBefore w:val="0"/>
        <w:widowControl w:val="0"/>
        <w:kinsoku/>
        <w:wordWrap/>
        <w:topLinePunct w:val="0"/>
        <w:autoSpaceDE/>
        <w:autoSpaceDN/>
        <w:bidi w:val="0"/>
        <w:spacing w:line="620" w:lineRule="exact"/>
        <w:jc w:val="center"/>
        <w:textAlignment w:val="auto"/>
        <w:rPr>
          <w:rFonts w:hint="default" w:ascii="Times New Roman" w:hAnsi="Times New Roman" w:eastAsia="黑体" w:cs="Times New Roman"/>
          <w:sz w:val="36"/>
          <w:szCs w:val="36"/>
        </w:rPr>
      </w:pPr>
    </w:p>
    <w:p>
      <w:pPr>
        <w:pageBreakBefore w:val="0"/>
        <w:widowControl w:val="0"/>
        <w:kinsoku/>
        <w:wordWrap/>
        <w:topLinePunct w:val="0"/>
        <w:autoSpaceDE/>
        <w:autoSpaceDN/>
        <w:bidi w:val="0"/>
        <w:spacing w:line="620" w:lineRule="exact"/>
        <w:jc w:val="center"/>
        <w:textAlignment w:val="auto"/>
        <w:rPr>
          <w:rFonts w:hint="default" w:ascii="Times New Roman" w:hAnsi="Times New Roman" w:eastAsia="黑体" w:cs="Times New Roman"/>
          <w:sz w:val="36"/>
          <w:szCs w:val="36"/>
        </w:rPr>
      </w:pPr>
    </w:p>
    <w:p>
      <w:pPr>
        <w:pageBreakBefore w:val="0"/>
        <w:widowControl w:val="0"/>
        <w:kinsoku/>
        <w:wordWrap/>
        <w:topLinePunct w:val="0"/>
        <w:autoSpaceDE/>
        <w:autoSpaceDN/>
        <w:bidi w:val="0"/>
        <w:spacing w:line="620" w:lineRule="exact"/>
        <w:jc w:val="center"/>
        <w:textAlignment w:val="auto"/>
        <w:rPr>
          <w:rFonts w:hint="default" w:ascii="Times New Roman" w:hAnsi="Times New Roman" w:eastAsia="黑体" w:cs="Times New Roman"/>
          <w:sz w:val="36"/>
          <w:szCs w:val="36"/>
        </w:rPr>
      </w:pPr>
    </w:p>
    <w:p>
      <w:pPr>
        <w:pageBreakBefore w:val="0"/>
        <w:widowControl w:val="0"/>
        <w:kinsoku/>
        <w:wordWrap/>
        <w:topLinePunct w:val="0"/>
        <w:autoSpaceDE/>
        <w:autoSpaceDN/>
        <w:bidi w:val="0"/>
        <w:spacing w:line="620" w:lineRule="exact"/>
        <w:jc w:val="center"/>
        <w:textAlignment w:val="auto"/>
        <w:rPr>
          <w:rFonts w:hint="default" w:ascii="Times New Roman" w:hAnsi="Times New Roman" w:eastAsia="黑体" w:cs="Times New Roman"/>
          <w:sz w:val="36"/>
          <w:szCs w:val="36"/>
        </w:rPr>
      </w:pPr>
    </w:p>
    <w:p>
      <w:pPr>
        <w:pStyle w:val="3"/>
        <w:pageBreakBefore w:val="0"/>
        <w:widowControl w:val="0"/>
        <w:kinsoku/>
        <w:wordWrap/>
        <w:topLinePunct w:val="0"/>
        <w:autoSpaceDE/>
        <w:autoSpaceDN/>
        <w:bidi w:val="0"/>
        <w:spacing w:line="620" w:lineRule="exact"/>
        <w:textAlignment w:val="auto"/>
        <w:rPr>
          <w:rFonts w:hint="default" w:ascii="Times New Roman" w:hAnsi="Times New Roman" w:cs="Times New Roman"/>
        </w:rPr>
      </w:pPr>
      <w:bookmarkStart w:id="87" w:name="_Toc31529"/>
      <w:r>
        <w:rPr>
          <w:rFonts w:hint="default" w:ascii="Times New Roman" w:hAnsi="Times New Roman" w:cs="Times New Roman"/>
        </w:rPr>
        <w:t>第</w:t>
      </w:r>
      <w:r>
        <w:rPr>
          <w:rFonts w:hint="default" w:ascii="Times New Roman" w:hAnsi="Times New Roman" w:cs="Times New Roman"/>
          <w:lang w:eastAsia="zh-CN"/>
        </w:rPr>
        <w:t>五</w:t>
      </w:r>
      <w:r>
        <w:rPr>
          <w:rFonts w:hint="default" w:ascii="Times New Roman" w:hAnsi="Times New Roman" w:cs="Times New Roman"/>
        </w:rPr>
        <w:t>章 强化兜底保障</w:t>
      </w:r>
      <w:bookmarkEnd w:id="87"/>
    </w:p>
    <w:p>
      <w:pPr>
        <w:pageBreakBefore w:val="0"/>
        <w:widowControl w:val="0"/>
        <w:kinsoku/>
        <w:wordWrap/>
        <w:topLinePunct w:val="0"/>
        <w:autoSpaceDE/>
        <w:autoSpaceDN/>
        <w:bidi w:val="0"/>
        <w:spacing w:line="620" w:lineRule="exact"/>
        <w:textAlignment w:val="auto"/>
        <w:rPr>
          <w:rFonts w:hint="default" w:ascii="Times New Roman" w:hAnsi="Times New Roman" w:cs="Times New Roman"/>
        </w:rPr>
      </w:pP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color w:val="000000"/>
          <w:spacing w:val="0"/>
          <w:w w:val="100"/>
          <w:position w:val="0"/>
          <w:sz w:val="32"/>
          <w:szCs w:val="32"/>
          <w:lang w:eastAsia="zh-CN"/>
        </w:rPr>
      </w:pPr>
      <w:r>
        <w:rPr>
          <w:rFonts w:hint="default" w:ascii="Times New Roman" w:hAnsi="Times New Roman" w:eastAsia="方正仿宋_GBK" w:cs="Times New Roman"/>
          <w:color w:val="000000"/>
          <w:spacing w:val="0"/>
          <w:w w:val="100"/>
          <w:position w:val="0"/>
          <w:sz w:val="32"/>
          <w:szCs w:val="32"/>
        </w:rPr>
        <w:t>把维护困难群众基本权益作为基本民生保障的根本出发点和落脚点</w:t>
      </w:r>
      <w:r>
        <w:rPr>
          <w:rFonts w:hint="default" w:ascii="Times New Roman" w:hAnsi="Times New Roman" w:eastAsia="方正仿宋_GBK" w:cs="Times New Roman"/>
          <w:color w:val="000000"/>
          <w:spacing w:val="0"/>
          <w:w w:val="100"/>
          <w:position w:val="0"/>
          <w:sz w:val="32"/>
          <w:szCs w:val="32"/>
          <w:lang w:eastAsia="zh-CN"/>
        </w:rPr>
        <w:t>，</w:t>
      </w:r>
      <w:r>
        <w:rPr>
          <w:rFonts w:hint="default" w:ascii="Times New Roman" w:hAnsi="Times New Roman" w:eastAsia="方正仿宋_GBK" w:cs="Times New Roman"/>
          <w:color w:val="000000"/>
          <w:spacing w:val="0"/>
          <w:w w:val="100"/>
          <w:position w:val="0"/>
          <w:sz w:val="32"/>
          <w:szCs w:val="32"/>
        </w:rPr>
        <w:t>按照保基本、兜底线、救急难、可持续的总体思路</w:t>
      </w:r>
      <w:r>
        <w:rPr>
          <w:rFonts w:hint="default" w:ascii="Times New Roman" w:hAnsi="Times New Roman" w:eastAsia="方正仿宋_GBK" w:cs="Times New Roman"/>
          <w:color w:val="000000"/>
          <w:spacing w:val="0"/>
          <w:w w:val="100"/>
          <w:position w:val="0"/>
          <w:sz w:val="32"/>
          <w:szCs w:val="32"/>
          <w:lang w:eastAsia="zh-CN"/>
        </w:rPr>
        <w:t>，</w:t>
      </w:r>
      <w:r>
        <w:rPr>
          <w:rFonts w:hint="default" w:ascii="Times New Roman" w:hAnsi="Times New Roman" w:eastAsia="方正仿宋_GBK" w:cs="Times New Roman"/>
          <w:color w:val="000000"/>
          <w:spacing w:val="0"/>
          <w:w w:val="100"/>
          <w:position w:val="0"/>
          <w:sz w:val="32"/>
          <w:szCs w:val="32"/>
        </w:rPr>
        <w:t>以统筹救助资源、巩固脱贫攻坚成果、提升服务能力为重点</w:t>
      </w:r>
      <w:r>
        <w:rPr>
          <w:rFonts w:hint="default" w:ascii="Times New Roman" w:hAnsi="Times New Roman" w:eastAsia="方正仿宋_GBK" w:cs="Times New Roman"/>
          <w:color w:val="000000"/>
          <w:spacing w:val="0"/>
          <w:w w:val="100"/>
          <w:position w:val="0"/>
          <w:sz w:val="32"/>
          <w:szCs w:val="32"/>
          <w:lang w:eastAsia="zh-CN"/>
        </w:rPr>
        <w:t>，</w:t>
      </w:r>
      <w:r>
        <w:rPr>
          <w:rFonts w:hint="default" w:ascii="Times New Roman" w:hAnsi="Times New Roman" w:eastAsia="方正仿宋_GBK" w:cs="Times New Roman"/>
          <w:color w:val="000000"/>
          <w:spacing w:val="0"/>
          <w:w w:val="100"/>
          <w:position w:val="0"/>
          <w:sz w:val="32"/>
          <w:szCs w:val="32"/>
        </w:rPr>
        <w:t>健全工作机制</w:t>
      </w:r>
      <w:r>
        <w:rPr>
          <w:rFonts w:hint="default" w:ascii="Times New Roman" w:hAnsi="Times New Roman" w:eastAsia="方正仿宋_GBK" w:cs="Times New Roman"/>
          <w:color w:val="000000"/>
          <w:spacing w:val="0"/>
          <w:w w:val="100"/>
          <w:position w:val="0"/>
          <w:sz w:val="32"/>
          <w:szCs w:val="32"/>
          <w:lang w:eastAsia="zh-CN"/>
        </w:rPr>
        <w:t>，</w:t>
      </w:r>
      <w:r>
        <w:rPr>
          <w:rFonts w:hint="default" w:ascii="Times New Roman" w:hAnsi="Times New Roman" w:eastAsia="方正仿宋_GBK" w:cs="Times New Roman"/>
          <w:color w:val="000000"/>
          <w:spacing w:val="0"/>
          <w:w w:val="100"/>
          <w:position w:val="0"/>
          <w:sz w:val="32"/>
          <w:szCs w:val="32"/>
        </w:rPr>
        <w:t>强化基层基础</w:t>
      </w:r>
      <w:r>
        <w:rPr>
          <w:rFonts w:hint="default" w:ascii="Times New Roman" w:hAnsi="Times New Roman" w:eastAsia="方正仿宋_GBK" w:cs="Times New Roman"/>
          <w:color w:val="000000"/>
          <w:spacing w:val="0"/>
          <w:w w:val="100"/>
          <w:position w:val="0"/>
          <w:sz w:val="32"/>
          <w:szCs w:val="32"/>
          <w:lang w:eastAsia="zh-CN"/>
        </w:rPr>
        <w:t>，</w:t>
      </w:r>
      <w:r>
        <w:rPr>
          <w:rFonts w:hint="default" w:ascii="Times New Roman" w:hAnsi="Times New Roman" w:eastAsia="方正仿宋_GBK" w:cs="Times New Roman"/>
          <w:color w:val="000000"/>
          <w:spacing w:val="0"/>
          <w:w w:val="100"/>
          <w:position w:val="0"/>
          <w:sz w:val="32"/>
          <w:szCs w:val="32"/>
        </w:rPr>
        <w:t>加快构建政府主导、社会参与、制度健全、政策衔接、兜底有力的综合救助体系</w:t>
      </w:r>
      <w:r>
        <w:rPr>
          <w:rFonts w:hint="default" w:ascii="Times New Roman" w:hAnsi="Times New Roman" w:eastAsia="方正仿宋_GBK" w:cs="Times New Roman"/>
          <w:color w:val="000000"/>
          <w:spacing w:val="0"/>
          <w:w w:val="100"/>
          <w:position w:val="0"/>
          <w:sz w:val="32"/>
          <w:szCs w:val="32"/>
          <w:lang w:eastAsia="zh-CN"/>
        </w:rPr>
        <w:t>，</w:t>
      </w:r>
      <w:r>
        <w:rPr>
          <w:rFonts w:hint="default" w:ascii="Times New Roman" w:hAnsi="Times New Roman" w:eastAsia="方正仿宋_GBK" w:cs="Times New Roman"/>
          <w:color w:val="000000"/>
          <w:spacing w:val="0"/>
          <w:w w:val="100"/>
          <w:position w:val="0"/>
          <w:sz w:val="32"/>
          <w:szCs w:val="32"/>
        </w:rPr>
        <w:t>兜住兜牢兜好基本民生保障底线</w:t>
      </w:r>
      <w:r>
        <w:rPr>
          <w:rFonts w:hint="default" w:ascii="Times New Roman" w:hAnsi="Times New Roman" w:eastAsia="方正仿宋_GBK" w:cs="Times New Roman"/>
          <w:color w:val="000000"/>
          <w:spacing w:val="0"/>
          <w:w w:val="100"/>
          <w:position w:val="0"/>
          <w:sz w:val="32"/>
          <w:szCs w:val="32"/>
          <w:lang w:eastAsia="zh-CN"/>
        </w:rPr>
        <w:t>，</w:t>
      </w:r>
      <w:r>
        <w:rPr>
          <w:rFonts w:hint="default" w:ascii="Times New Roman" w:hAnsi="Times New Roman" w:eastAsia="方正仿宋_GBK" w:cs="Times New Roman"/>
          <w:color w:val="000000"/>
          <w:spacing w:val="0"/>
          <w:w w:val="100"/>
          <w:position w:val="0"/>
          <w:sz w:val="32"/>
          <w:szCs w:val="32"/>
        </w:rPr>
        <w:t>不断提升基本民生保障水平</w:t>
      </w:r>
      <w:r>
        <w:rPr>
          <w:rFonts w:hint="default" w:ascii="Times New Roman" w:hAnsi="Times New Roman" w:eastAsia="方正仿宋_GBK" w:cs="Times New Roman"/>
          <w:color w:val="000000"/>
          <w:spacing w:val="0"/>
          <w:w w:val="100"/>
          <w:position w:val="0"/>
          <w:sz w:val="32"/>
          <w:szCs w:val="32"/>
          <w:lang w:eastAsia="zh-CN"/>
        </w:rPr>
        <w:t>。</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eastAsia="zh-CN"/>
        </w:rPr>
        <w:t>第一节</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分层分类实施社会救助</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夯实基本生活救助体系，提高救助水平。</w:t>
      </w:r>
      <w:r>
        <w:rPr>
          <w:rFonts w:hint="default" w:ascii="Times New Roman" w:hAnsi="Times New Roman" w:eastAsia="方正仿宋_GBK" w:cs="Times New Roman"/>
          <w:sz w:val="32"/>
          <w:szCs w:val="32"/>
        </w:rPr>
        <w:t>规范完善最低生活保障制度，建立健全长效机制，适度提高社会救助水平。对共同生活的家庭成员人均收入低于当地最低生活保障标准的，实施分档救助。综合考虑财力状况等因素，建立与城乡居民人均消费支出或人均可支配收入水平挂钩的动态调整机制。</w:t>
      </w:r>
      <w:r>
        <w:rPr>
          <w:rFonts w:hint="default" w:ascii="Times New Roman" w:hAnsi="Times New Roman" w:eastAsia="方正仿宋_GBK" w:cs="Times New Roman"/>
          <w:b/>
          <w:bCs/>
          <w:sz w:val="32"/>
          <w:szCs w:val="32"/>
        </w:rPr>
        <w:t>健全专项社会救助制度，落实救助帮扶责任。</w:t>
      </w:r>
      <w:r>
        <w:rPr>
          <w:rFonts w:hint="default" w:ascii="Times New Roman" w:hAnsi="Times New Roman" w:eastAsia="方正仿宋_GBK" w:cs="Times New Roman"/>
          <w:sz w:val="32"/>
          <w:szCs w:val="32"/>
        </w:rPr>
        <w:t>健全医疗、教育、住房、就业以及受灾人员救助等专项社会救助。对城乡居民遇到实际困难的类型，适时给予相应救助帮扶。切实做到凡困必帮、有难必救，切实保障其基本生活和人身安全。</w:t>
      </w:r>
      <w:r>
        <w:rPr>
          <w:rFonts w:hint="default" w:ascii="Times New Roman" w:hAnsi="Times New Roman" w:eastAsia="方正仿宋_GBK" w:cs="Times New Roman"/>
          <w:b/>
          <w:bCs/>
          <w:sz w:val="32"/>
          <w:szCs w:val="32"/>
        </w:rPr>
        <w:t>健全最低保障标准动态调整机制。</w:t>
      </w:r>
      <w:r>
        <w:rPr>
          <w:rFonts w:hint="default" w:ascii="Times New Roman" w:hAnsi="Times New Roman" w:eastAsia="方正仿宋_GBK" w:cs="Times New Roman"/>
          <w:sz w:val="32"/>
          <w:szCs w:val="32"/>
        </w:rPr>
        <w:t>制定与经济社会发展水平相适应的低保家庭财产限定标准或条件，健全动态调整机制。推动民政与公安、财政、教育、住建、人社、卫健、税务、金融、残联、市场监管、</w:t>
      </w:r>
      <w:r>
        <w:rPr>
          <w:rFonts w:hint="default" w:ascii="Times New Roman" w:hAnsi="Times New Roman" w:eastAsia="方正仿宋_GBK" w:cs="Times New Roman"/>
          <w:sz w:val="32"/>
          <w:szCs w:val="32"/>
          <w:lang w:eastAsia="zh-CN"/>
        </w:rPr>
        <w:t>乡村振兴</w:t>
      </w:r>
      <w:r>
        <w:rPr>
          <w:rFonts w:hint="default" w:ascii="Times New Roman" w:hAnsi="Times New Roman" w:eastAsia="方正仿宋_GBK" w:cs="Times New Roman"/>
          <w:sz w:val="32"/>
          <w:szCs w:val="32"/>
        </w:rPr>
        <w:t>等部门信息互联互通和数据共享共用，依法明确和落实相关部门、单位提供社会救助家庭收入及财产信息的法律义务。合理丰富核对内容，不断完善核对系统，逐步开展全县联网的统一核对工作。强化收入核对信息技术支撑，提高信息核对工作效率。加强核对系统与社会救助助管理信息系统之间的协同，形成无缝衔接、精准高效的社会救助对象认定机制。</w:t>
      </w:r>
      <w:bookmarkStart w:id="88" w:name="_Toc31523"/>
      <w:r>
        <w:rPr>
          <w:rFonts w:hint="default" w:ascii="Times New Roman" w:hAnsi="Times New Roman" w:eastAsia="方正仿宋_GBK" w:cs="Times New Roman"/>
          <w:b/>
          <w:bCs/>
          <w:sz w:val="32"/>
          <w:szCs w:val="32"/>
        </w:rPr>
        <w:t>不断提高社会救助经办服务能力</w:t>
      </w:r>
      <w:bookmarkEnd w:id="88"/>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一是深化“放管服”改革，将低保审核确认权限和服务平台前移，全面推行低保、特困、临时救助等社会救助乡镇“一门受理、协同办理”制度，“最多跑一次”等综合服务。二是实施基层社会救助能力提升工程。提高服务能力，乡镇设置社会救助机构，并依据辖区人口数量、救助对象数量等因素，合理配备社会救助工作人员，落实工作经费。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社区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建立社会救助服务站</w:t>
      </w:r>
      <w:r>
        <w:rPr>
          <w:rFonts w:hint="default" w:ascii="Times New Roman" w:hAnsi="Times New Roman" w:eastAsia="方正仿宋_GBK" w:cs="Times New Roman"/>
          <w:sz w:val="32"/>
          <w:szCs w:val="32"/>
          <w:lang w:eastAsia="zh-CN"/>
        </w:rPr>
        <w:t>（点）</w:t>
      </w:r>
      <w:r>
        <w:rPr>
          <w:rFonts w:hint="default" w:ascii="Times New Roman" w:hAnsi="Times New Roman" w:eastAsia="方正仿宋_GBK" w:cs="Times New Roman"/>
          <w:sz w:val="32"/>
          <w:szCs w:val="32"/>
        </w:rPr>
        <w:t>，设立村级社会救助协理员，薪酬待遇不低于村干部水平，专职负责困难群众救助工作。</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eastAsia="zh-CN"/>
        </w:rPr>
        <w:t>第二节</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完善养老保障和儿童关爱服务</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大力促进养老服务业发展。</w:t>
      </w:r>
      <w:r>
        <w:rPr>
          <w:rFonts w:hint="default" w:ascii="Times New Roman" w:hAnsi="Times New Roman" w:eastAsia="方正仿宋_GBK" w:cs="Times New Roman"/>
          <w:sz w:val="32"/>
          <w:szCs w:val="32"/>
          <w:lang w:val="en-US" w:eastAsia="zh-CN"/>
        </w:rPr>
        <w:t>贯彻落实国家、自治区、地区积极应对人口老龄化中长期规划部署，结合实际，健全高龄、失能老年人长期照护服务体系，推进居家和社区养老服务发展，因地制宜推进农村养老发展，壮大养老服务工作力量，推动优化养老服务供给结构，强化信用为核心、质量为保障、放权与监管并重的服务管理体系，持续改善养老服务质量，健全完善居家社区机构相协调、医养康养相结合的养老服务体系，保障老年人基本养老服务，有效满足多样化、多层次养老服务需求。</w:t>
      </w:r>
      <w:r>
        <w:rPr>
          <w:rFonts w:hint="default" w:ascii="Times New Roman" w:hAnsi="Times New Roman" w:eastAsia="方正仿宋_GBK" w:cs="Times New Roman"/>
          <w:b/>
          <w:bCs/>
          <w:sz w:val="32"/>
          <w:szCs w:val="32"/>
          <w:lang w:val="en-US" w:eastAsia="zh-CN"/>
        </w:rPr>
        <w:t>统筹建立儿童福利和儿童保护制度体系。</w:t>
      </w:r>
      <w:r>
        <w:rPr>
          <w:rFonts w:hint="default" w:ascii="Times New Roman" w:hAnsi="Times New Roman" w:eastAsia="方正仿宋_GBK" w:cs="Times New Roman"/>
          <w:sz w:val="32"/>
          <w:szCs w:val="32"/>
          <w:lang w:val="en-US" w:eastAsia="zh-CN"/>
        </w:rPr>
        <w:t>以促进未成年人健康成长为出发点和落脚点，坚持依法保护，不断健全法律法规和制度机制，扎实推进与经济社会发展水平和特点相适应的儿童关爱保护体系建设，优化儿童保护平台布局，为儿童营造安全无虞、生活无忧、充满关爱、健康发展的成长环境，树立全社会关爱保护儿童良好风尚。</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仿宋_GB2312" w:cs="Times New Roman"/>
          <w:sz w:val="32"/>
          <w:szCs w:val="32"/>
          <w:lang w:val="en-US" w:eastAsia="zh-CN"/>
        </w:rPr>
      </w:pPr>
    </w:p>
    <w:p>
      <w:pPr>
        <w:pStyle w:val="3"/>
        <w:pageBreakBefore w:val="0"/>
        <w:widowControl w:val="0"/>
        <w:kinsoku/>
        <w:wordWrap/>
        <w:topLinePunct w:val="0"/>
        <w:autoSpaceDE/>
        <w:autoSpaceDN/>
        <w:bidi w:val="0"/>
        <w:spacing w:line="620" w:lineRule="exact"/>
        <w:textAlignment w:val="auto"/>
        <w:rPr>
          <w:rFonts w:hint="default" w:ascii="Times New Roman" w:hAnsi="Times New Roman" w:cs="Times New Roman"/>
        </w:rPr>
      </w:pPr>
      <w:bookmarkStart w:id="89" w:name="_Toc287"/>
      <w:r>
        <w:rPr>
          <w:rFonts w:hint="default" w:ascii="Times New Roman" w:hAnsi="Times New Roman" w:cs="Times New Roman"/>
        </w:rPr>
        <w:t>第</w:t>
      </w:r>
      <w:r>
        <w:rPr>
          <w:rFonts w:hint="default" w:ascii="Times New Roman" w:hAnsi="Times New Roman" w:cs="Times New Roman"/>
          <w:lang w:eastAsia="zh-CN"/>
        </w:rPr>
        <w:t>六</w:t>
      </w:r>
      <w:r>
        <w:rPr>
          <w:rFonts w:hint="default" w:ascii="Times New Roman" w:hAnsi="Times New Roman" w:cs="Times New Roman"/>
        </w:rPr>
        <w:t>章 完善扶贫项目资产管理长效机制</w:t>
      </w:r>
      <w:bookmarkEnd w:id="89"/>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sz w:val="32"/>
          <w:szCs w:val="32"/>
          <w:lang w:eastAsia="zh-CN"/>
        </w:rPr>
      </w:pP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摸清扶贫项目资产底数，明晰资产产权，明确管理和运营主体，建立管理和监督长效机制，全面加强扶贫资产的管理和监督，推动脱贫地区乡村特色产业可持续发展，确保扶贫资产持续发挥带贫减贫作用，巩固拓展脱贫攻坚成果。</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eastAsia="zh-CN"/>
        </w:rPr>
        <w:t>第一节</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落实后续管理责任</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根据扶贫项目资产的类型确定管理运营的主体和责任</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鼓励探索多形式、多层次、多样化的管护模式。通过开发公益岗位等方式解决公益性资产管护，优先吸纳低收入家庭劳动力参与扶贫资产管护；通过购买服务形式，对专业性较强的扶贫资产进行管护；无经营收益的公益性扶贫资产，由受益地乡镇级人民政府和村集体进行管护。</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eastAsia="zh-CN"/>
        </w:rPr>
        <w:t>第二节</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强化后续管护运营</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重点加强对经营性扶贫资产的管理，</w:t>
      </w:r>
      <w:r>
        <w:rPr>
          <w:rFonts w:hint="default" w:ascii="Times New Roman" w:hAnsi="Times New Roman" w:eastAsia="方正仿宋_GBK" w:cs="Times New Roman"/>
          <w:sz w:val="32"/>
          <w:szCs w:val="32"/>
          <w:lang w:eastAsia="zh-CN"/>
        </w:rPr>
        <w:t>依托喀什地区扶贫项目资产信息预警系统，</w:t>
      </w:r>
      <w:r>
        <w:rPr>
          <w:rFonts w:hint="default" w:ascii="Times New Roman" w:hAnsi="Times New Roman" w:eastAsia="方正仿宋_GBK" w:cs="Times New Roman"/>
          <w:sz w:val="32"/>
          <w:szCs w:val="32"/>
        </w:rPr>
        <w:t>明确运营各方权利义务、经营责任、管护责任、绩效目标、股权的退出和处置方式等，确保扶贫资产保值增值。从扶贫资产保值增值、可持续发展、减贫带贫、脱贫增收等方面，对扶贫资产进行评估，确保扶贫资产不闲置、不损失、不浪费。脱贫攻坚成果巩固期，扶贫资产收益原则上用于扶贫资产维护、脱贫成果巩固。</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eastAsia="zh-CN"/>
        </w:rPr>
        <w:t>第三节</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规范收益分配使用</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通过设置一定的条件，鼓励采取参加村内项目建设和发展等劳动增收方式进行分配，激发群众内生动力。按照村集体经济组织收益分配管理相关办法和章程，从资产收益中提取的公积公益金重点用于项目运营管护、村级公益事业等方面，严禁采用简单发钱发物、一分了之的做法进行收益分配。对脱贫不稳定户、边缘易致贫户、突发严重困难户应及时纳入帮扶范围，经相关行业部门落实帮扶政策后仍未消除返贫致贫风险的，应通过民主决策程序，安排资产收益资金及时帮扶解困，坚决守住不发生规模性返贫的底线。</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eastAsia="zh-CN"/>
        </w:rPr>
        <w:t>第四节</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严格依规做好扶贫项目资产处置</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任何单位和个人不得随意处置 集体和国有扶贫项目资产。确需处置的，应按照集体资产、国有资产 管理有关规定，履行相应审批手续进行规范处置。</w:t>
      </w:r>
    </w:p>
    <w:p>
      <w:pPr>
        <w:pageBreakBefore w:val="0"/>
        <w:widowControl w:val="0"/>
        <w:kinsoku/>
        <w:wordWrap/>
        <w:topLinePunct w:val="0"/>
        <w:autoSpaceDE/>
        <w:autoSpaceDN/>
        <w:bidi w:val="0"/>
        <w:spacing w:line="620" w:lineRule="exact"/>
        <w:jc w:val="both"/>
        <w:textAlignment w:val="auto"/>
        <w:rPr>
          <w:rFonts w:hint="default" w:ascii="Times New Roman" w:hAnsi="Times New Roman" w:eastAsia="方正仿宋_GBK" w:cs="Times New Roman"/>
          <w:sz w:val="32"/>
          <w:szCs w:val="32"/>
        </w:rPr>
      </w:pPr>
    </w:p>
    <w:p>
      <w:pPr>
        <w:pageBreakBefore w:val="0"/>
        <w:widowControl w:val="0"/>
        <w:kinsoku/>
        <w:wordWrap/>
        <w:topLinePunct w:val="0"/>
        <w:autoSpaceDE/>
        <w:autoSpaceDN/>
        <w:bidi w:val="0"/>
        <w:spacing w:line="620" w:lineRule="exact"/>
        <w:jc w:val="both"/>
        <w:textAlignment w:val="auto"/>
        <w:rPr>
          <w:rFonts w:hint="default" w:ascii="Times New Roman" w:hAnsi="Times New Roman" w:eastAsia="方正仿宋_GBK" w:cs="Times New Roman"/>
          <w:sz w:val="32"/>
          <w:szCs w:val="32"/>
        </w:rPr>
      </w:pPr>
    </w:p>
    <w:bookmarkEnd w:id="82"/>
    <w:bookmarkEnd w:id="83"/>
    <w:bookmarkEnd w:id="84"/>
    <w:p>
      <w:pPr>
        <w:pageBreakBefore w:val="0"/>
        <w:widowControl w:val="0"/>
        <w:kinsoku/>
        <w:wordWrap/>
        <w:topLinePunct w:val="0"/>
        <w:autoSpaceDE/>
        <w:autoSpaceDN/>
        <w:bidi w:val="0"/>
        <w:spacing w:line="620" w:lineRule="exact"/>
        <w:textAlignment w:val="auto"/>
        <w:rPr>
          <w:rFonts w:hint="default" w:ascii="Times New Roman" w:hAnsi="Times New Roman" w:cs="Times New Roman"/>
        </w:rPr>
      </w:pPr>
      <w:bookmarkStart w:id="90" w:name="_Toc1855"/>
      <w:bookmarkStart w:id="91" w:name="_Toc3102"/>
    </w:p>
    <w:p>
      <w:pPr>
        <w:pStyle w:val="2"/>
        <w:pageBreakBefore w:val="0"/>
        <w:widowControl w:val="0"/>
        <w:kinsoku/>
        <w:wordWrap/>
        <w:topLinePunct w:val="0"/>
        <w:autoSpaceDE/>
        <w:autoSpaceDN/>
        <w:bidi w:val="0"/>
        <w:spacing w:line="620" w:lineRule="exact"/>
        <w:textAlignment w:val="auto"/>
        <w:rPr>
          <w:rFonts w:hint="default" w:ascii="Times New Roman" w:hAnsi="Times New Roman" w:cs="Times New Roman"/>
        </w:rPr>
      </w:pPr>
      <w:r>
        <w:rPr>
          <w:rFonts w:hint="default" w:ascii="Times New Roman" w:hAnsi="Times New Roman" w:cs="Times New Roman"/>
        </w:rPr>
        <w:t>第</w:t>
      </w:r>
      <w:r>
        <w:rPr>
          <w:rFonts w:hint="default" w:ascii="Times New Roman" w:hAnsi="Times New Roman" w:cs="Times New Roman"/>
          <w:lang w:eastAsia="zh-CN"/>
        </w:rPr>
        <w:t>四</w:t>
      </w:r>
      <w:r>
        <w:rPr>
          <w:rFonts w:hint="default" w:ascii="Times New Roman" w:hAnsi="Times New Roman" w:cs="Times New Roman"/>
        </w:rPr>
        <w:t xml:space="preserve">篇 </w:t>
      </w:r>
      <w:r>
        <w:rPr>
          <w:rFonts w:hint="default" w:ascii="Times New Roman" w:hAnsi="Times New Roman" w:cs="Times New Roman"/>
          <w:lang w:eastAsia="zh-CN"/>
        </w:rPr>
        <w:t>开拓进取</w:t>
      </w:r>
      <w:r>
        <w:rPr>
          <w:rFonts w:hint="default" w:ascii="Times New Roman" w:hAnsi="Times New Roman" w:cs="Times New Roman"/>
        </w:rPr>
        <w:t xml:space="preserve"> </w:t>
      </w:r>
      <w:bookmarkEnd w:id="90"/>
      <w:r>
        <w:rPr>
          <w:rFonts w:hint="default" w:ascii="Times New Roman" w:hAnsi="Times New Roman" w:cs="Times New Roman"/>
        </w:rPr>
        <w:t>有效衔接乡村振兴</w:t>
      </w:r>
      <w:bookmarkEnd w:id="91"/>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sz w:val="32"/>
          <w:szCs w:val="32"/>
        </w:rPr>
      </w:pPr>
      <w:bookmarkStart w:id="92" w:name="_Toc19049"/>
      <w:bookmarkStart w:id="93" w:name="_Toc28744"/>
      <w:bookmarkStart w:id="94" w:name="_Toc1793"/>
      <w:bookmarkStart w:id="95" w:name="_Toc19935"/>
      <w:bookmarkStart w:id="96" w:name="_Toc26733"/>
      <w:bookmarkStart w:id="97" w:name="_Toc736"/>
      <w:bookmarkStart w:id="98" w:name="_Toc22311"/>
      <w:bookmarkStart w:id="99" w:name="_Toc845"/>
      <w:bookmarkStart w:id="100" w:name="_Toc13830"/>
      <w:bookmarkStart w:id="101" w:name="_Toc8051"/>
      <w:bookmarkStart w:id="102" w:name="_Toc28167"/>
      <w:bookmarkStart w:id="103" w:name="_Toc15563"/>
      <w:bookmarkStart w:id="104" w:name="_Toc1888"/>
      <w:bookmarkStart w:id="105" w:name="_Toc27973"/>
      <w:bookmarkStart w:id="106" w:name="_Toc25068"/>
      <w:bookmarkStart w:id="107" w:name="_Toc24258"/>
      <w:bookmarkStart w:id="108" w:name="_Toc22113"/>
      <w:bookmarkStart w:id="109" w:name="_Toc25285"/>
      <w:bookmarkStart w:id="110" w:name="_Toc15192"/>
      <w:bookmarkStart w:id="111" w:name="_Toc12748"/>
      <w:bookmarkStart w:id="112" w:name="_Toc29427"/>
      <w:bookmarkStart w:id="113" w:name="_Toc7381"/>
      <w:bookmarkStart w:id="114" w:name="_Toc7014"/>
      <w:bookmarkStart w:id="115" w:name="_Toc3922"/>
      <w:bookmarkStart w:id="116" w:name="_Toc1603"/>
      <w:bookmarkStart w:id="117" w:name="_Toc28114"/>
      <w:bookmarkStart w:id="118" w:name="_Toc3180"/>
      <w:bookmarkStart w:id="119" w:name="_Toc28732"/>
      <w:bookmarkStart w:id="120" w:name="_Toc19629"/>
      <w:bookmarkStart w:id="121" w:name="_Toc16398"/>
      <w:bookmarkStart w:id="122" w:name="_Toc6444"/>
      <w:bookmarkStart w:id="123" w:name="_Toc27485"/>
      <w:bookmarkStart w:id="124" w:name="_Toc9044"/>
      <w:bookmarkStart w:id="125" w:name="_Toc29665"/>
      <w:bookmarkStart w:id="126" w:name="_Toc29926"/>
      <w:bookmarkStart w:id="127" w:name="_Toc26959"/>
      <w:bookmarkStart w:id="128" w:name="_Toc28307"/>
      <w:bookmarkStart w:id="129" w:name="_Toc13698"/>
      <w:bookmarkStart w:id="130" w:name="_Toc26297"/>
      <w:bookmarkStart w:id="131" w:name="_Toc13114"/>
      <w:bookmarkStart w:id="132" w:name="_Toc16183"/>
      <w:bookmarkStart w:id="133" w:name="_Toc2359"/>
      <w:bookmarkStart w:id="134" w:name="_Toc25540"/>
      <w:bookmarkStart w:id="135" w:name="_Toc23423"/>
      <w:bookmarkStart w:id="136" w:name="_Toc23161"/>
      <w:bookmarkStart w:id="137" w:name="_Toc26319"/>
      <w:bookmarkStart w:id="138" w:name="_Toc13973"/>
      <w:bookmarkStart w:id="139" w:name="_Toc31810"/>
      <w:bookmarkStart w:id="140" w:name="_Toc6316"/>
      <w:bookmarkStart w:id="141" w:name="_Toc29766"/>
      <w:bookmarkStart w:id="142" w:name="_Toc9168"/>
      <w:bookmarkStart w:id="143" w:name="_Toc17000"/>
      <w:bookmarkStart w:id="144" w:name="_Toc23759"/>
      <w:bookmarkStart w:id="145" w:name="_Toc17587"/>
      <w:bookmarkStart w:id="146" w:name="_Toc2385"/>
      <w:bookmarkStart w:id="147" w:name="_Toc30065"/>
      <w:bookmarkStart w:id="148" w:name="_Toc13391"/>
      <w:bookmarkStart w:id="149" w:name="_Toc14927"/>
      <w:bookmarkStart w:id="150" w:name="_Toc30973"/>
      <w:bookmarkStart w:id="151" w:name="_Toc14547"/>
      <w:bookmarkStart w:id="152" w:name="_Toc8926"/>
      <w:bookmarkStart w:id="153" w:name="_Toc9747"/>
      <w:bookmarkStart w:id="154" w:name="_Toc6016"/>
      <w:bookmarkStart w:id="155" w:name="_Toc6761"/>
      <w:bookmarkStart w:id="156" w:name="_Toc13734"/>
      <w:bookmarkStart w:id="157" w:name="_Toc10913"/>
      <w:bookmarkStart w:id="158" w:name="_Toc7761"/>
      <w:bookmarkStart w:id="159" w:name="_Toc13852"/>
      <w:bookmarkStart w:id="160" w:name="_Toc19099"/>
      <w:bookmarkStart w:id="161" w:name="_Toc30410"/>
      <w:bookmarkStart w:id="162" w:name="_Toc23593"/>
      <w:bookmarkStart w:id="163" w:name="_Toc30200"/>
      <w:bookmarkStart w:id="164" w:name="_Toc9352"/>
      <w:bookmarkStart w:id="165" w:name="_Toc26091"/>
      <w:bookmarkStart w:id="166" w:name="_Toc30228"/>
      <w:bookmarkStart w:id="167" w:name="_Toc14304"/>
      <w:bookmarkStart w:id="168" w:name="_Toc25653"/>
      <w:bookmarkStart w:id="169" w:name="_Toc23983"/>
      <w:r>
        <w:rPr>
          <w:rFonts w:hint="default" w:ascii="Times New Roman" w:hAnsi="Times New Roman" w:eastAsia="方正仿宋_GBK" w:cs="Times New Roman"/>
          <w:sz w:val="32"/>
          <w:szCs w:val="32"/>
        </w:rPr>
        <w:t>坚持优先发展农业农村，实现巩固拓展脱贫攻坚成果同乡村振兴有效衔接，实施乡村建设行动，深化农村改革，推进城乡融合发展，加强农村人才队伍建设，推进农村产业、人才、文化、生态、组织全面振兴。坚持把解决好“三农”问题作为疏勒县工作重中之重，坚持走中国特色社会主义乡村振兴道路，强化以工补农、以城带乡，推动形成工农互促、城乡互补、协调发展、共同繁荣的新型工农城乡关系，加快农业农村现代化，让农业成为有奔头的产业，让农民成为有吸引力的职业，让农村成为安居乐业的美丽家园。</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sz w:val="32"/>
          <w:szCs w:val="32"/>
        </w:rPr>
      </w:pPr>
    </w:p>
    <w:p>
      <w:pPr>
        <w:pStyle w:val="3"/>
        <w:pageBreakBefore w:val="0"/>
        <w:widowControl w:val="0"/>
        <w:kinsoku/>
        <w:wordWrap/>
        <w:topLinePunct w:val="0"/>
        <w:autoSpaceDE/>
        <w:autoSpaceDN/>
        <w:bidi w:val="0"/>
        <w:spacing w:line="620" w:lineRule="exact"/>
        <w:textAlignment w:val="auto"/>
        <w:rPr>
          <w:rFonts w:hint="default" w:ascii="Times New Roman" w:hAnsi="Times New Roman" w:cs="Times New Roman"/>
        </w:rPr>
      </w:pPr>
      <w:r>
        <w:rPr>
          <w:rFonts w:hint="default" w:ascii="Times New Roman" w:hAnsi="Times New Roman" w:cs="Times New Roman"/>
        </w:rPr>
        <w:t xml:space="preserve">第一章 </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Pr>
          <w:rFonts w:hint="default" w:ascii="Times New Roman" w:hAnsi="Times New Roman" w:cs="Times New Roman"/>
        </w:rPr>
        <w:t>构建乡村产业体系</w:t>
      </w:r>
      <w:r>
        <w:rPr>
          <w:rFonts w:hint="default" w:ascii="Times New Roman" w:hAnsi="Times New Roman" w:cs="Times New Roman"/>
          <w:lang w:val="en-US" w:eastAsia="zh-CN"/>
        </w:rPr>
        <w:t xml:space="preserve"> </w:t>
      </w:r>
      <w:r>
        <w:rPr>
          <w:rFonts w:hint="default" w:ascii="Times New Roman" w:hAnsi="Times New Roman" w:cs="Times New Roman"/>
        </w:rPr>
        <w:t>培育特色优势产业</w:t>
      </w:r>
      <w:bookmarkEnd w:id="169"/>
    </w:p>
    <w:p>
      <w:pPr>
        <w:pageBreakBefore w:val="0"/>
        <w:widowControl w:val="0"/>
        <w:kinsoku/>
        <w:wordWrap/>
        <w:topLinePunct w:val="0"/>
        <w:autoSpaceDE/>
        <w:autoSpaceDN/>
        <w:bidi w:val="0"/>
        <w:spacing w:line="620" w:lineRule="exact"/>
        <w:jc w:val="center"/>
        <w:textAlignment w:val="auto"/>
        <w:rPr>
          <w:rFonts w:hint="default" w:ascii="Times New Roman" w:hAnsi="Times New Roman" w:eastAsia="黑体" w:cs="Times New Roman"/>
          <w:sz w:val="36"/>
          <w:szCs w:val="36"/>
        </w:rPr>
      </w:pP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rPr>
        <w:t>以农业供给侧结构性改革为主线，以农业提质增效、农民就业增收为核心，按照“稳粮、优棉、增菜、促畜、强果、兴特色”思路，围绕地区粮、棉、果、畜、设施农业五大优质特色农产品生产基地和绿色食品原料标准化基地建设，合理配置农业生产资源，确保粮食安全，粮食面积保</w:t>
      </w:r>
      <w:r>
        <w:rPr>
          <w:rFonts w:hint="default" w:ascii="Times New Roman" w:hAnsi="Times New Roman" w:eastAsia="方正仿宋_GBK" w:cs="Times New Roman"/>
          <w:color w:val="auto"/>
          <w:sz w:val="32"/>
          <w:szCs w:val="32"/>
        </w:rPr>
        <w:t>持在80万亩。加快</w:t>
      </w:r>
      <w:r>
        <w:rPr>
          <w:rFonts w:hint="default" w:ascii="Times New Roman" w:hAnsi="Times New Roman" w:eastAsia="方正仿宋_GBK" w:cs="Times New Roman"/>
          <w:sz w:val="32"/>
          <w:szCs w:val="32"/>
        </w:rPr>
        <w:t>发展粮经饲统筹、种养加一体、农林牧结合的现代农业，加快高标准农田建设和低产田改造，推动农业由增产导向转向提质导向，全面提升农产品有效</w:t>
      </w:r>
      <w:r>
        <w:rPr>
          <w:rFonts w:hint="default" w:ascii="Times New Roman" w:hAnsi="Times New Roman" w:eastAsia="方正仿宋_GBK" w:cs="Times New Roman"/>
          <w:color w:val="auto"/>
          <w:sz w:val="32"/>
          <w:szCs w:val="32"/>
        </w:rPr>
        <w:t>供给质量，调整优化农牧业结构，构建农牧业特色产业基地，推进农村一二三产业融合发展。到2025年，全县第一产业生产总值达到35.13亿元，年均增长4.9%，农村居民人均可支配收入年均增长9%。</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第一节 抓牢粮食生产</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打造绿色优质小麦生产基地</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z w:val="32"/>
          <w:szCs w:val="32"/>
        </w:rPr>
        <w:t>调整优化粮食品种结构，大力推广绿色、有机小麦品种，扩大青贮和特种玉米种植。深入推进优质粮食工程，打造小麦绿色原料生产基地，到2025年全县小麦面积稳定在40万亩左右、总产量稳定在18万吨以上。</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第</w:t>
      </w:r>
      <w:r>
        <w:rPr>
          <w:rFonts w:hint="default" w:ascii="Times New Roman" w:hAnsi="Times New Roman" w:eastAsia="方正仿宋_GBK" w:cs="Times New Roman"/>
          <w:b/>
          <w:bCs/>
          <w:color w:val="auto"/>
          <w:sz w:val="32"/>
          <w:szCs w:val="32"/>
          <w:lang w:eastAsia="zh-CN"/>
        </w:rPr>
        <w:t>二</w:t>
      </w:r>
      <w:r>
        <w:rPr>
          <w:rFonts w:hint="default" w:ascii="Times New Roman" w:hAnsi="Times New Roman" w:eastAsia="方正仿宋_GBK" w:cs="Times New Roman"/>
          <w:b/>
          <w:bCs/>
          <w:color w:val="auto"/>
          <w:sz w:val="32"/>
          <w:szCs w:val="32"/>
        </w:rPr>
        <w:t xml:space="preserve">节 </w:t>
      </w:r>
      <w:r>
        <w:rPr>
          <w:rFonts w:hint="default" w:ascii="Times New Roman" w:hAnsi="Times New Roman" w:eastAsia="方正仿宋_GBK" w:cs="Times New Roman"/>
          <w:b/>
          <w:bCs/>
          <w:color w:val="auto"/>
          <w:sz w:val="32"/>
          <w:szCs w:val="32"/>
          <w:highlight w:val="none"/>
          <w:lang w:val="en-US" w:eastAsia="zh-CN"/>
        </w:rPr>
        <w:t>巩固棉花产业</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sz w:val="32"/>
          <w:szCs w:val="32"/>
        </w:rPr>
        <w:t>建设新疆优质棉花生产基地</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z w:val="32"/>
          <w:szCs w:val="32"/>
        </w:rPr>
        <w:t>以提高棉花品质和效益为重点，适度压缩棉花种植面积，提优优质棉生产基地建设。严控品种数量，严把品种审定关，全面落实棉花“一主一辅”用种模式，提升标准化种植和机械化水平，到2025年全县棉花面积压缩到40万亩以下。</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第</w:t>
      </w:r>
      <w:r>
        <w:rPr>
          <w:rFonts w:hint="default" w:ascii="Times New Roman" w:hAnsi="Times New Roman" w:eastAsia="方正仿宋_GBK" w:cs="Times New Roman"/>
          <w:b/>
          <w:color w:val="auto"/>
          <w:sz w:val="32"/>
          <w:szCs w:val="32"/>
          <w:lang w:eastAsia="zh-CN"/>
        </w:rPr>
        <w:t>三</w:t>
      </w:r>
      <w:r>
        <w:rPr>
          <w:rFonts w:hint="default" w:ascii="Times New Roman" w:hAnsi="Times New Roman" w:eastAsia="方正仿宋_GBK" w:cs="Times New Roman"/>
          <w:b/>
          <w:color w:val="auto"/>
          <w:sz w:val="32"/>
          <w:szCs w:val="32"/>
        </w:rPr>
        <w:t>节 调整优化林果业结构</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林果业发展以提质增效为主，积极打造集中连片标准化林果基地，突出特色优势，以发展林果精品园为重点，高标准建立林果精品示范园，切实发挥示范一点，带动一片，示范一村，带动一乡（镇）的示范带动作用。进一步完善丰产栽培管理技术规程，加大实用技术推广力度，强化“嫁接、修剪、施肥、植保”等管理措施，通过补植补造达到有效保存株数。</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第</w:t>
      </w:r>
      <w:r>
        <w:rPr>
          <w:rFonts w:hint="default" w:ascii="Times New Roman" w:hAnsi="Times New Roman" w:eastAsia="方正仿宋_GBK" w:cs="Times New Roman"/>
          <w:b/>
          <w:color w:val="auto"/>
          <w:sz w:val="32"/>
          <w:szCs w:val="32"/>
          <w:lang w:eastAsia="zh-CN"/>
        </w:rPr>
        <w:t>四</w:t>
      </w:r>
      <w:r>
        <w:rPr>
          <w:rFonts w:hint="default" w:ascii="Times New Roman" w:hAnsi="Times New Roman" w:eastAsia="方正仿宋_GBK" w:cs="Times New Roman"/>
          <w:b/>
          <w:color w:val="auto"/>
          <w:sz w:val="32"/>
          <w:szCs w:val="32"/>
        </w:rPr>
        <w:t>节 打造畜牧良繁饲料加工产业基地</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——打造畜牧良种繁育基地。</w:t>
      </w:r>
      <w:r>
        <w:rPr>
          <w:rFonts w:hint="default" w:ascii="Times New Roman" w:hAnsi="Times New Roman" w:eastAsia="方正仿宋_GBK" w:cs="Times New Roman"/>
          <w:color w:val="auto"/>
          <w:sz w:val="32"/>
          <w:szCs w:val="32"/>
        </w:rPr>
        <w:t>加大政策扶持力度，建立财政、项目、科技、人才等要素资源向畜牧种繁育基地建设倾斜的政策体系，加快建立良种体系。积极搭建良种培育、引种、繁育智慧平台，提高良种化水平，加快以多浪羊、湖羊、杜泊羊为主的肉羊良种繁育及推广，和肉牛（奶牛）良种繁育及推广，加快疏勒县羊繁育中心和牛繁育中心项目建设，大力推进15个乡镇的养殖小区建设，推行良种繁育中心+养殖小区（合作社、场）+养殖户的生产模式，快速扩大繁育规模和水平，全面提高良种畜繁育规模和水平。</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——扩大规模化养殖。</w:t>
      </w:r>
      <w:r>
        <w:rPr>
          <w:rFonts w:hint="default" w:ascii="Times New Roman" w:hAnsi="Times New Roman" w:eastAsia="方正仿宋_GBK" w:cs="Times New Roman"/>
          <w:color w:val="auto"/>
          <w:sz w:val="32"/>
          <w:szCs w:val="32"/>
        </w:rPr>
        <w:t>推行规模化养殖，加快疏勒县15个乡镇牛羊养殖小区工程新建设，每个养殖小区达到100头肉牛（奶牛）或500只肉羊规模。通过良种繁育和饲料加工规模和水平提高，带动周边养殖场（户、合作社）扩大畜牧养殖规模。加大招商引资力度，在山钢园区布局建设大型标准化生猪养殖场、标准化畜禽综合屠宰场，支持发展鸡、鸽、驴等特色畜禽养殖业和肉食深加工。到2025年末，全县牲畜存栏75万头只，畜牧业产值年均增长6%。</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——打造饲草料生产加工基地。</w:t>
      </w:r>
      <w:r>
        <w:rPr>
          <w:rFonts w:hint="default" w:ascii="Times New Roman" w:hAnsi="Times New Roman" w:eastAsia="方正仿宋_GBK" w:cs="Times New Roman"/>
          <w:color w:val="auto"/>
          <w:sz w:val="32"/>
          <w:szCs w:val="32"/>
        </w:rPr>
        <w:t>积极引导和鼓励建设草畜联营合作组织，鼓励和引导养殖企业（合作社）大力开展饲草料订单种植，依托粮改饲等项目政策，主推青贮玉米等优质饲草料的规模种植，建成稳定的饲草料供应基地，形成饲草种植、加工、收储为一体的草畜联营机制。加快发展饲料加工产业，制定扶持政策，培育和引进大型饲料加工企业，加大全价颗粒饲料加工水平和规模，提升杂粕、糟渣、食品加工副产品等非粮饲料资源优质化处理利用水平，综合利用微生物制剂、植物提取物等新型安全饲料添加剂产品，提升饲料加工科技含量，研发多种类产品，结合饲草料基地建设，不断扩大饲料生产规模，满足疏勒县及周边区域畜牧业发展对饲料的需求。加快在疏勒国家绿色物流园建设反季节玉米青储饲料储运基地，打造辐射全地区的饲料生产加工储运基地。</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eastAsia="zh-CN"/>
        </w:rPr>
        <w:t>第五节</w:t>
      </w:r>
      <w:r>
        <w:rPr>
          <w:rFonts w:hint="default" w:ascii="Times New Roman" w:hAnsi="Times New Roman" w:eastAsia="方正仿宋_GBK" w:cs="Times New Roman"/>
          <w:b/>
          <w:bCs/>
          <w:color w:val="auto"/>
          <w:sz w:val="32"/>
          <w:szCs w:val="32"/>
          <w:lang w:val="en-US" w:eastAsia="zh-CN"/>
        </w:rPr>
        <w:t xml:space="preserve"> </w:t>
      </w:r>
      <w:r>
        <w:rPr>
          <w:rFonts w:hint="default" w:ascii="Times New Roman" w:hAnsi="Times New Roman" w:eastAsia="方正仿宋_GBK" w:cs="Times New Roman"/>
          <w:b/>
          <w:bCs/>
          <w:color w:val="auto"/>
          <w:sz w:val="32"/>
          <w:szCs w:val="32"/>
          <w:highlight w:val="none"/>
          <w:lang w:val="en-US" w:eastAsia="zh-CN"/>
        </w:rPr>
        <w:t>持续发展特色产业</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——打造蔬菜产业高地。</w:t>
      </w:r>
      <w:r>
        <w:rPr>
          <w:rFonts w:hint="default" w:ascii="Times New Roman" w:hAnsi="Times New Roman" w:eastAsia="方正仿宋_GBK" w:cs="Times New Roman"/>
          <w:color w:val="auto"/>
          <w:sz w:val="32"/>
          <w:szCs w:val="32"/>
        </w:rPr>
        <w:t>把大幅增加蔬菜种植规模作为疏勒县种植业结构调整的主战场，把提升蔬菜产业化发展水平作为疏勒县扩大多外贸易的突破口，以大喀什和“三亚”市场需求为导向，合理选择蔬菜种植种类和品种，着力扩大设施蔬菜种植规模，到2025年全县优质蔬菜种植面积发展到30万亩。</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auto"/>
          <w:sz w:val="32"/>
          <w:szCs w:val="32"/>
        </w:rPr>
        <w:t>——优化蔬菜种植基地建设。</w:t>
      </w:r>
      <w:r>
        <w:rPr>
          <w:rFonts w:hint="default" w:ascii="Times New Roman" w:hAnsi="Times New Roman" w:eastAsia="方正仿宋_GBK" w:cs="Times New Roman"/>
          <w:color w:val="auto"/>
          <w:sz w:val="32"/>
          <w:szCs w:val="32"/>
        </w:rPr>
        <w:t>依托50万亩流转土地的有利条件，加快蔬菜种植布局调整，通过土地流转，推进适宜蔬菜区域重点种植蔬菜，推进集中连片规模化种植，产业化运营。按照一乡一业、一村一品的思路布局设施蔬菜种类和规模，提高深冬设施蔬菜生产技术水平，扩大“春提早、秋延晚”设施蔬菜种植规模，五年新增日光温室大棚5500座。把低产田</w:t>
      </w:r>
      <w:r>
        <w:rPr>
          <w:rFonts w:hint="default" w:ascii="Times New Roman" w:hAnsi="Times New Roman" w:eastAsia="方正仿宋_GBK" w:cs="Times New Roman"/>
          <w:sz w:val="32"/>
          <w:szCs w:val="32"/>
        </w:rPr>
        <w:t>改造、水利建设和节水灌溉项目资金向蔬菜基地建设倾斜，全面推进低压管道和滴灌用水，积极推进智能数字化控制平台和智能温室建设，提升蔬菜基地设施水平。</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——建设西甜瓜基地：</w:t>
      </w:r>
      <w:r>
        <w:rPr>
          <w:rFonts w:hint="default" w:ascii="Times New Roman" w:hAnsi="Times New Roman" w:eastAsia="方正仿宋_GBK" w:cs="Times New Roman"/>
          <w:sz w:val="32"/>
          <w:szCs w:val="32"/>
        </w:rPr>
        <w:t>加大新品种选育力度，推广新品种、新技术。借助郭牌西瓜，以高端市场为导向，以提升知名度美誉度创建名牌为目标，积极发展双膜瓜种植模式，制定完善标准化生产技术规程，实行标准化生产，着力建设有机精品西甜瓜生产基地，到2025年西甜瓜面积稳定在4.5万亩。</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b/>
          <w:bCs/>
          <w:sz w:val="32"/>
          <w:szCs w:val="32"/>
          <w:highlight w:val="none"/>
          <w:lang w:val="en-US" w:eastAsia="zh-CN"/>
        </w:rPr>
      </w:pPr>
      <w:bookmarkStart w:id="170" w:name="_Toc16556"/>
      <w:r>
        <w:rPr>
          <w:rFonts w:hint="default" w:ascii="Times New Roman" w:hAnsi="Times New Roman" w:eastAsia="方正仿宋_GBK" w:cs="Times New Roman"/>
          <w:b/>
          <w:sz w:val="32"/>
          <w:szCs w:val="32"/>
          <w:highlight w:val="none"/>
        </w:rPr>
        <w:t>第</w:t>
      </w:r>
      <w:r>
        <w:rPr>
          <w:rFonts w:hint="default" w:ascii="Times New Roman" w:hAnsi="Times New Roman" w:eastAsia="方正仿宋_GBK" w:cs="Times New Roman"/>
          <w:b/>
          <w:sz w:val="32"/>
          <w:szCs w:val="32"/>
          <w:highlight w:val="none"/>
          <w:lang w:eastAsia="zh-CN"/>
        </w:rPr>
        <w:t>六</w:t>
      </w:r>
      <w:r>
        <w:rPr>
          <w:rFonts w:hint="default" w:ascii="Times New Roman" w:hAnsi="Times New Roman" w:eastAsia="方正仿宋_GBK" w:cs="Times New Roman"/>
          <w:b/>
          <w:sz w:val="32"/>
          <w:szCs w:val="32"/>
          <w:highlight w:val="none"/>
        </w:rPr>
        <w:t xml:space="preserve">节 </w:t>
      </w:r>
      <w:r>
        <w:rPr>
          <w:rFonts w:hint="default" w:ascii="Times New Roman" w:hAnsi="Times New Roman" w:eastAsia="方正仿宋_GBK" w:cs="Times New Roman"/>
          <w:b/>
          <w:bCs/>
          <w:sz w:val="32"/>
          <w:szCs w:val="32"/>
          <w:highlight w:val="none"/>
          <w:lang w:val="en-US" w:eastAsia="zh-CN"/>
        </w:rPr>
        <w:t>加快推进高标准农田建设</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十四五”期间完成高标准农田建设面积75万亩，其中：2021年已建设完成面积16.4万亩，2022年建设26万亩，高效节水17.4万亩。结合我县实际情况，按照“应建尽建、能建尽建”的要求，计划2023年建设6万亩，2023年建设6万亩，2025年建设3万亩。助力乡村振兴，持续提升农田产能。加快补齐农田基础设施短板，提高水土资源利用率，切实增强农田防灾抗灾减灾能力，改善农田水利基础设施，提高农业机械化水平，对保持和提高粮食综合生产能力、增加农民收入和促进区域经济发展、确保国家粮食安全生产。</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第七节 完善农业高效节水设施建设</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依托流经疏勒县克孜勒河、盖孜河和库山河三大河流的优势，利用农田建设中的泵房设施及滴灌系统进一步提升改造农田水利基础设施。增强农业生产人员的节水意识，加大投入，完善农业生产的基础设施，科学管理规划，提高节水效率，发展高效节水设施建设。提升农业产业化、规模化、节约化、合理化发展能力。</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b/>
          <w:bCs/>
          <w:sz w:val="32"/>
          <w:szCs w:val="32"/>
          <w:highlight w:val="none"/>
          <w:lang w:eastAsia="zh-CN"/>
        </w:rPr>
      </w:pPr>
      <w:r>
        <w:rPr>
          <w:rFonts w:hint="default" w:ascii="Times New Roman" w:hAnsi="Times New Roman" w:eastAsia="方正仿宋_GBK" w:cs="Times New Roman"/>
          <w:b/>
          <w:bCs/>
          <w:sz w:val="32"/>
          <w:szCs w:val="32"/>
          <w:highlight w:val="none"/>
          <w:lang w:eastAsia="zh-CN"/>
        </w:rPr>
        <w:t>第八节</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rPr>
        <w:t>加强农业科技支撑</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发展乡村新型服务业。提升生产性服务业，支持供销、邮政、农民合作社及乡村企业等，开展农技推广、土地托管、代耕代种、收储等农业生产性服务，以及市场信息、农资供应、农业废弃物资源化利用、农机作业及维修、农产品营销等服务。拓展生活性服务业，改造提升餐饮住宿、商超零售、美容美发、洗浴、电器维修、再生资源回收等乡村生活服务业，积极发展养老护幼、卫生保洁、文化演出、体育健身、法律咨询等乡村服务业。加强农村电子商务人才培养，扩大农村电子商务应用，全面提高农村产业融合发展水平。</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培育新型农业经营主体。推动龙头企业与农民合作组织及农户开展多种形式的合作与联合，健全产业链利益联结机制，扩大小农户在现代农业发展中的利益分配。培育壮大创新创业群体，鼓励农口系统专业技术人员下沉农民专业合作社创新创业。鼓励农民就地创业、创办领办家庭农场林场、农民合作社、农业企业、农业社会化服务组织等新型农业经营主体。</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eastAsia="zh-CN"/>
        </w:rPr>
        <w:t>第九节</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rPr>
        <w:t>完善全产业链支持</w:t>
      </w:r>
      <w:r>
        <w:rPr>
          <w:rFonts w:hint="default" w:ascii="Times New Roman" w:hAnsi="Times New Roman" w:eastAsia="方正仿宋_GBK" w:cs="Times New Roman"/>
          <w:b/>
          <w:bCs/>
          <w:sz w:val="32"/>
          <w:szCs w:val="32"/>
          <w:highlight w:val="none"/>
          <w:lang w:val="en-US" w:eastAsia="zh-CN"/>
        </w:rPr>
        <w:t>措施</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快完善土地、资金、人才等要素支撑的政策措施。完善财政扶持政策，采取“以奖代补、先建后补”等方式，加快农业与二三产业融合发展示范园建设，大力支持农业产业强镇、优势特色产业集群及农产品仓储保鲜冷链设施建设。强化金融扶持政策，积极发行专项债券用于乡村产业，完善乡村产业发展用地政策体系，促进乡村产业融合发展。</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探索发展多种类型农村产业融合方式。积极培育多元融合主体、建立多形式利益共享机制和实现机制，延伸农业产业链、提升价值链、完善利益链。以建设蔬菜产业示范田园综合体为重点，依托水发农业蔬菜产业园，加快布局建设净菜、包装、深加工、冷藏保鲜、冷链物流、采摘园等二三产业融合发展项目，发挥综合体的集约效益；推动粮棉瓜菜等主要农产品生产、储藏、初加工、精深加工、销售、餐饮、休闲旅游等一体化融合发展；发展以初加工为主的农产品加工业，重点发展晾晒、烘干、预冷、保鲜、分级、分割、包装等仓储设施和商品化处理；拓展乡村特色产业，重点发展特色种养、特色食品、特色手工业和长寿文化等；优化乡村休闲旅游业，依托农村各区域特色优势，发展田园观光、农耕体验、文化休闲、科普教育、健康养生等业态，建设综合性休闲农业园区、农业主题公园、观光采摘园、垂钓园、乡村民宿和休闲农庄，满足城市居民消费需求。结合养殖、设施蔬菜种植积极发展农光互补示范项目，拓展产业融合新领域。</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b/>
          <w:bCs/>
          <w:sz w:val="32"/>
          <w:szCs w:val="32"/>
          <w:highlight w:val="none"/>
          <w:lang w:eastAsia="zh-CN"/>
        </w:rPr>
      </w:pPr>
      <w:r>
        <w:rPr>
          <w:rFonts w:hint="default" w:ascii="Times New Roman" w:hAnsi="Times New Roman" w:eastAsia="方正仿宋_GBK" w:cs="Times New Roman"/>
          <w:sz w:val="32"/>
          <w:szCs w:val="32"/>
        </w:rPr>
        <w:t>实施农业品牌战略。加强原产地保护产品、地理标志产品和知名品牌保护、创建、推广工作。成立由政府、龙头企业、合作社参与组成的疏勒县名优特新农副产品推广联盟，积极引导农产品加工营销企业、合作社、采购商等使用“疏勒蔬菜”品牌，加快形成“区域公共品牌+企业品牌+绿色有机认证”的品牌格局。</w:t>
      </w:r>
      <w:r>
        <w:rPr>
          <w:rFonts w:hint="default" w:ascii="Times New Roman" w:hAnsi="Times New Roman" w:eastAsia="方正仿宋_GBK" w:cs="Times New Roman"/>
          <w:kern w:val="0"/>
          <w:sz w:val="32"/>
          <w:szCs w:val="32"/>
        </w:rPr>
        <w:t>加快在</w:t>
      </w:r>
      <w:r>
        <w:rPr>
          <w:rFonts w:hint="default" w:ascii="Times New Roman" w:hAnsi="Times New Roman" w:eastAsia="方正仿宋_GBK" w:cs="Times New Roman"/>
          <w:kern w:val="0"/>
          <w:sz w:val="32"/>
          <w:szCs w:val="32"/>
          <w:lang w:val="zh-CN"/>
        </w:rPr>
        <w:t>疆内外</w:t>
      </w:r>
      <w:r>
        <w:rPr>
          <w:rFonts w:hint="default" w:ascii="Times New Roman" w:hAnsi="Times New Roman" w:eastAsia="方正仿宋_GBK" w:cs="Times New Roman"/>
          <w:kern w:val="0"/>
          <w:sz w:val="32"/>
          <w:szCs w:val="32"/>
        </w:rPr>
        <w:t>设立</w:t>
      </w:r>
      <w:r>
        <w:rPr>
          <w:rFonts w:hint="default" w:ascii="Times New Roman" w:hAnsi="Times New Roman" w:eastAsia="方正仿宋_GBK" w:cs="Times New Roman"/>
          <w:kern w:val="0"/>
          <w:sz w:val="32"/>
          <w:szCs w:val="32"/>
          <w:lang w:val="zh-CN"/>
        </w:rPr>
        <w:t>“疏勒味道特色餐饮”旗舰店，</w:t>
      </w:r>
      <w:r>
        <w:rPr>
          <w:rFonts w:hint="default" w:ascii="Times New Roman" w:hAnsi="Times New Roman" w:eastAsia="方正仿宋_GBK" w:cs="Times New Roman"/>
          <w:kern w:val="0"/>
          <w:sz w:val="32"/>
          <w:szCs w:val="32"/>
        </w:rPr>
        <w:t>打响“疏勒味道”品牌，发挥</w:t>
      </w:r>
      <w:r>
        <w:rPr>
          <w:rFonts w:hint="default" w:ascii="Times New Roman" w:hAnsi="Times New Roman" w:eastAsia="方正仿宋_GBK" w:cs="Times New Roman"/>
          <w:kern w:val="0"/>
          <w:sz w:val="32"/>
          <w:szCs w:val="32"/>
          <w:lang w:val="zh-CN"/>
        </w:rPr>
        <w:t>带动</w:t>
      </w:r>
      <w:r>
        <w:rPr>
          <w:rFonts w:hint="default" w:ascii="Times New Roman" w:hAnsi="Times New Roman" w:eastAsia="方正仿宋_GBK" w:cs="Times New Roman"/>
          <w:kern w:val="0"/>
          <w:sz w:val="32"/>
          <w:szCs w:val="32"/>
        </w:rPr>
        <w:t>就</w:t>
      </w:r>
      <w:r>
        <w:rPr>
          <w:rFonts w:hint="default" w:ascii="Times New Roman" w:hAnsi="Times New Roman" w:eastAsia="方正仿宋_GBK" w:cs="Times New Roman"/>
          <w:kern w:val="0"/>
          <w:sz w:val="32"/>
          <w:szCs w:val="32"/>
          <w:lang w:val="zh-CN"/>
        </w:rPr>
        <w:t>业、</w:t>
      </w:r>
      <w:r>
        <w:rPr>
          <w:rFonts w:hint="default" w:ascii="Times New Roman" w:hAnsi="Times New Roman" w:eastAsia="方正仿宋_GBK" w:cs="Times New Roman"/>
          <w:kern w:val="0"/>
          <w:sz w:val="32"/>
          <w:szCs w:val="32"/>
        </w:rPr>
        <w:t>增加收入的作用。</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eastAsia="zh-CN"/>
        </w:rPr>
        <w:t>第十节</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rPr>
        <w:t>优先支持</w:t>
      </w:r>
      <w:r>
        <w:rPr>
          <w:rFonts w:hint="default" w:ascii="Times New Roman" w:hAnsi="Times New Roman" w:eastAsia="方正仿宋_GBK" w:cs="Times New Roman"/>
          <w:b/>
          <w:bCs/>
          <w:sz w:val="32"/>
          <w:szCs w:val="32"/>
          <w:highlight w:val="none"/>
          <w:lang w:eastAsia="zh-CN"/>
        </w:rPr>
        <w:t>现代农业产业园</w:t>
      </w:r>
      <w:r>
        <w:rPr>
          <w:rFonts w:hint="default" w:ascii="Times New Roman" w:hAnsi="Times New Roman" w:eastAsia="方正仿宋_GBK" w:cs="Times New Roman"/>
          <w:b/>
          <w:bCs/>
          <w:sz w:val="32"/>
          <w:szCs w:val="32"/>
          <w:highlight w:val="none"/>
        </w:rPr>
        <w:t>建设</w:t>
      </w:r>
    </w:p>
    <w:bookmarkEnd w:id="170"/>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产业园围绕“姓农”本质，强化顶层设计，按照我县产业布局，规划现代农业产业园建设。以巴仁乡18村蔬菜产业园、山东水发产业园为核心区，辐射带动周边乡镇大力发展蔬菜产业。更进一步</w:t>
      </w:r>
      <w:r>
        <w:rPr>
          <w:rFonts w:hint="default" w:ascii="Times New Roman" w:hAnsi="Times New Roman" w:eastAsia="方正仿宋_GBK" w:cs="Times New Roman"/>
          <w:sz w:val="32"/>
          <w:szCs w:val="32"/>
          <w:lang w:eastAsia="zh-CN"/>
        </w:rPr>
        <w:t>深化农业供给侧结构性改革，坚持质量兴农，抓好去库存、降成本、补短板，推进粮食、果品加工转化，创新农业发展方式，推动农业由增产导向转向提质导向，增加市场紧缺农产品生产，提高农产品供给质量和效率，更好满足市场消费需求，提高农业效益和竞争力。</w:t>
      </w:r>
      <w:r>
        <w:rPr>
          <w:rFonts w:hint="default" w:ascii="Times New Roman" w:hAnsi="Times New Roman" w:eastAsia="方正仿宋_GBK" w:cs="Times New Roman"/>
          <w:sz w:val="32"/>
          <w:szCs w:val="32"/>
          <w:lang w:val="en-US" w:eastAsia="zh-CN"/>
        </w:rPr>
        <w:t>全面形成规模化绿色循环种养、全产业链深加工、综合循环利用、科研成果转化、品牌建设营销、带农富农、一二三产业融合发展示范的格局。</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eastAsia="zh-CN"/>
        </w:rPr>
        <w:t>第十一节</w:t>
      </w:r>
      <w:r>
        <w:rPr>
          <w:rFonts w:hint="default" w:ascii="Times New Roman" w:hAnsi="Times New Roman" w:eastAsia="方正仿宋_GBK" w:cs="Times New Roman"/>
          <w:b/>
          <w:bCs/>
          <w:sz w:val="32"/>
          <w:szCs w:val="32"/>
          <w:lang w:val="en-US" w:eastAsia="zh-CN"/>
        </w:rPr>
        <w:t xml:space="preserve"> 发展乡村休闲旅游业</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加快实施疏勒县丝路小镇及建设主题稻田片区项目，整合亚曼牙乡现有文化旅游资源进行，打造融入丝路文化观光和绿洲展示与一体的自然旅游观光小镇；持续推进长寿村项目实施，依托库木西力克乡现有长寿旅游资源，不断加强长寿文化旅游建设，继续提升完善基础设施建设，创建国家A级乡村旅游景区，打造康养长寿基地；不断加大招商引资力度和投资力度，加快文旅项目建设；加快巴合齐乡1村项目建设，依托3A级景区香妃湖、4星级农家乐金湖农庄和现代农业基地山东水发集团，结合巴合齐1村田园风光、民宿风情等自然人文资源，结合本地资源现状，按照国家A级景区与特色小镇建设标准，打造“旅游+文化+研学+现代农业观光”为主线的特色小镇“福禄小镇”。整合疏勒旅游资源，建设集民俗风情文化、游览、餐饮、休闲、运动一体的一站式生活休闲娱乐场所，促进传统民俗旅游文化和现代旅游项目有机结合；加快牙甫泉沙漠滑雪景区沙漠康养中心项目建设，依托牙甫泉沙疗滑雪场国家AAA级景区的知名度和沙疗独特的资源，完善沙疗配套设施，增加沙疗服务项目，提升滑雪场功能，打造集沙疗、滑雪健身为一体的沙漠康养中心，促进沙漠特色旅游经济发展。 </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val="en-US" w:eastAsia="zh-CN"/>
        </w:rPr>
        <w:t xml:space="preserve">第十二节 </w:t>
      </w:r>
      <w:r>
        <w:rPr>
          <w:rFonts w:hint="default" w:ascii="Times New Roman" w:hAnsi="Times New Roman" w:eastAsia="方正仿宋_GBK" w:cs="Times New Roman"/>
          <w:b/>
          <w:bCs/>
          <w:sz w:val="32"/>
          <w:szCs w:val="32"/>
        </w:rPr>
        <w:t>大力实施消费帮扶</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坚持政府引导、社会参与、市场运作、 创新机制，动员社会各界扩大脱贫地区产品和服务消费，拓宽脱贫地区农产品销售渠道，进一步加快推进消费帮扶，以消费促进脱贫地区群众持续稳定增收。充分发挥好“千企帮百村”精准扶贫行动、</w:t>
      </w:r>
      <w:r>
        <w:rPr>
          <w:rFonts w:hint="default" w:ascii="Times New Roman" w:hAnsi="Times New Roman" w:eastAsia="方正仿宋_GBK" w:cs="Times New Roman"/>
          <w:kern w:val="2"/>
          <w:sz w:val="32"/>
          <w:szCs w:val="32"/>
          <w:lang w:val="en-US" w:eastAsia="zh-CN" w:bidi="ar-SA"/>
        </w:rPr>
        <w:t>中国社会扶贫网和“832”消费平台及</w:t>
      </w:r>
      <w:r>
        <w:rPr>
          <w:rFonts w:hint="default" w:ascii="Times New Roman" w:hAnsi="Times New Roman" w:eastAsia="方正仿宋_GBK" w:cs="Times New Roman"/>
          <w:sz w:val="32"/>
          <w:szCs w:val="32"/>
          <w:lang w:eastAsia="zh-CN"/>
        </w:rPr>
        <w:t>山东</w:t>
      </w:r>
      <w:r>
        <w:rPr>
          <w:rFonts w:hint="default" w:ascii="Times New Roman" w:hAnsi="Times New Roman" w:eastAsia="方正仿宋_GBK" w:cs="Times New Roman"/>
          <w:sz w:val="32"/>
          <w:szCs w:val="32"/>
        </w:rPr>
        <w:t>对口援疆前方指挥部及自治区、地、县定点扶贫单位、区内协作援助单位（</w:t>
      </w:r>
      <w:r>
        <w:rPr>
          <w:rFonts w:hint="default" w:ascii="Times New Roman" w:hAnsi="Times New Roman" w:eastAsia="方正仿宋_GBK" w:cs="Times New Roman"/>
          <w:sz w:val="32"/>
          <w:szCs w:val="32"/>
          <w:lang w:eastAsia="zh-CN"/>
        </w:rPr>
        <w:t>独山子区</w:t>
      </w:r>
      <w:r>
        <w:rPr>
          <w:rFonts w:hint="default" w:ascii="Times New Roman" w:hAnsi="Times New Roman" w:eastAsia="方正仿宋_GBK" w:cs="Times New Roman"/>
          <w:sz w:val="32"/>
          <w:szCs w:val="32"/>
        </w:rPr>
        <w:t>）结合工作职责和帮扶任务，充分发挥自身优势，组织开展调研慰问、结对帮扶、电商扶贫、消费扶贫、“互联网+”社会扶贫、社会捐赠等活动。</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第十三节 发展农村电子商务</w:t>
      </w:r>
    </w:p>
    <w:p>
      <w:pPr>
        <w:keepNext w:val="0"/>
        <w:keepLines w:val="0"/>
        <w:pageBreakBefore w:val="0"/>
        <w:widowControl w:val="0"/>
        <w:kinsoku/>
        <w:wordWrap/>
        <w:overflowPunct/>
        <w:topLinePunct w:val="0"/>
        <w:autoSpaceDE/>
        <w:autoSpaceDN/>
        <w:bidi w:val="0"/>
        <w:adjustRightInd/>
        <w:snapToGrid/>
        <w:spacing w:line="620" w:lineRule="exact"/>
        <w:ind w:left="4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b/>
          <w:bCs/>
          <w:sz w:val="32"/>
          <w:szCs w:val="32"/>
          <w:lang w:val="en-US" w:eastAsia="zh-CN"/>
        </w:rPr>
        <w:t>全面实施乡村网红直播孵化“雏鹰计划”。</w:t>
      </w:r>
      <w:r>
        <w:rPr>
          <w:rFonts w:hint="default" w:ascii="Times New Roman" w:hAnsi="Times New Roman" w:eastAsia="方正仿宋_GBK" w:cs="Times New Roman"/>
          <w:sz w:val="32"/>
          <w:szCs w:val="32"/>
          <w:lang w:val="en-US" w:eastAsia="zh-CN"/>
        </w:rPr>
        <w:t>招募全县“雏鹰计划”网红直播合伙人，选择认可直播、喜欢直播的创业者，对其进行网红直播孵化。嫁接抖音、快手、淘宝直播，目前孵化3人直播团队,优质短视频创作者1名，对我县“农户品消费节”、“丰收季”、“人文记录”、“西域美景 ”进行记录和宣传。同时在县域电商服务中心设立直播素材制作中心，为县域内的农产品种植、采收等环节开展直播、视频剪辑制作等工作，推动农产品销售。</w:t>
      </w:r>
    </w:p>
    <w:p>
      <w:pPr>
        <w:keepNext w:val="0"/>
        <w:keepLines w:val="0"/>
        <w:pageBreakBefore w:val="0"/>
        <w:widowControl w:val="0"/>
        <w:kinsoku/>
        <w:wordWrap/>
        <w:overflowPunct/>
        <w:topLinePunct w:val="0"/>
        <w:autoSpaceDE/>
        <w:autoSpaceDN/>
        <w:bidi w:val="0"/>
        <w:adjustRightInd/>
        <w:snapToGrid/>
        <w:spacing w:line="620" w:lineRule="exact"/>
        <w:ind w:left="4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b/>
          <w:bCs/>
          <w:sz w:val="32"/>
          <w:szCs w:val="32"/>
          <w:lang w:val="en-US" w:eastAsia="zh-CN"/>
        </w:rPr>
        <w:t>打造“果蔬配送+快乐优选商城、多多买菜商城、小样优选商城+乡村经纪人+采购商户”模式。</w:t>
      </w:r>
      <w:r>
        <w:rPr>
          <w:rFonts w:hint="default" w:ascii="Times New Roman" w:hAnsi="Times New Roman" w:eastAsia="方正仿宋_GBK" w:cs="Times New Roman"/>
          <w:sz w:val="32"/>
          <w:szCs w:val="32"/>
          <w:lang w:val="en-US" w:eastAsia="zh-CN"/>
        </w:rPr>
        <w:t>对县域内的酒店、食堂、等现有的果蔬需求渠道，将其纳入内循环中的采供配体系中。整合疏勒县各个社区筛选社区提货点，植入社区团购，服务社区用户，拓宽蔬菜的销售渠道，打造蔬菜品牌化，全县巴扎、农贸市场、商超，建立本地蔬菜销售渠道供应体系。同时通过现有电商进农村综合示范县项目的县、乡（镇）130个电商服务站点，供应链下沉乡（镇）、村,结合社区团购植入线下蔬菜业务，实现乡(镇) 村站点买菜功能，结合乡村经济人降低物流配送成本，打通最后一公里。</w:t>
      </w:r>
    </w:p>
    <w:p>
      <w:pPr>
        <w:keepNext w:val="0"/>
        <w:keepLines w:val="0"/>
        <w:pageBreakBefore w:val="0"/>
        <w:widowControl w:val="0"/>
        <w:kinsoku/>
        <w:wordWrap/>
        <w:overflowPunct/>
        <w:topLinePunct w:val="0"/>
        <w:autoSpaceDE/>
        <w:autoSpaceDN/>
        <w:bidi w:val="0"/>
        <w:adjustRightInd/>
        <w:snapToGrid/>
        <w:spacing w:line="620" w:lineRule="exact"/>
        <w:ind w:left="4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b/>
          <w:bCs/>
          <w:sz w:val="32"/>
          <w:szCs w:val="32"/>
          <w:lang w:val="en-US" w:eastAsia="zh-CN"/>
        </w:rPr>
        <w:t>公共品牌营销体系（美蔬乐享）建设。</w:t>
      </w:r>
      <w:r>
        <w:rPr>
          <w:rFonts w:hint="default" w:ascii="Times New Roman" w:hAnsi="Times New Roman" w:eastAsia="方正仿宋_GBK" w:cs="Times New Roman"/>
          <w:sz w:val="32"/>
          <w:szCs w:val="32"/>
          <w:lang w:val="en-US" w:eastAsia="zh-CN"/>
        </w:rPr>
        <w:t>依托县域品牌开展干果及农产品，整合疏勒县农产品资源、提升区域产业品牌影响力，新疆宝域在地区商务局电商小组的支持下，公共品牌配套产品包装已完成“疏勒骏枣、疏勒核桃、疏勒灰枣、疏勒黑枸杞”四款产品包装设计和印刷制作工作，打造县域品牌知名度。</w:t>
      </w:r>
    </w:p>
    <w:p>
      <w:pPr>
        <w:keepNext w:val="0"/>
        <w:keepLines w:val="0"/>
        <w:pageBreakBefore w:val="0"/>
        <w:widowControl w:val="0"/>
        <w:kinsoku/>
        <w:wordWrap/>
        <w:overflowPunct/>
        <w:topLinePunct w:val="0"/>
        <w:autoSpaceDE/>
        <w:autoSpaceDN/>
        <w:bidi w:val="0"/>
        <w:adjustRightInd/>
        <w:snapToGrid/>
        <w:spacing w:line="620" w:lineRule="exact"/>
        <w:ind w:left="40" w:firstLine="640" w:firstLineChars="200"/>
        <w:jc w:val="both"/>
        <w:textAlignment w:val="auto"/>
        <w:rPr>
          <w:rFonts w:hint="default" w:ascii="Times New Roman" w:hAnsi="Times New Roman" w:eastAsia="方正仿宋_GBK" w:cs="Times New Roman"/>
          <w:sz w:val="32"/>
          <w:szCs w:val="32"/>
          <w:lang w:val="en-US" w:eastAsia="zh-CN"/>
        </w:rPr>
      </w:pPr>
    </w:p>
    <w:p>
      <w:pPr>
        <w:pStyle w:val="3"/>
        <w:pageBreakBefore w:val="0"/>
        <w:widowControl w:val="0"/>
        <w:kinsoku/>
        <w:wordWrap/>
        <w:topLinePunct w:val="0"/>
        <w:autoSpaceDE/>
        <w:autoSpaceDN/>
        <w:bidi w:val="0"/>
        <w:spacing w:line="620" w:lineRule="exact"/>
        <w:textAlignment w:val="auto"/>
        <w:rPr>
          <w:rFonts w:hint="default" w:ascii="Times New Roman" w:hAnsi="Times New Roman" w:cs="Times New Roman"/>
          <w:highlight w:val="none"/>
          <w:lang w:val="en-US" w:eastAsia="zh-CN"/>
        </w:rPr>
      </w:pPr>
      <w:bookmarkStart w:id="171" w:name="_Toc30145"/>
      <w:r>
        <w:rPr>
          <w:rFonts w:hint="default" w:ascii="Times New Roman" w:hAnsi="Times New Roman" w:cs="Times New Roman"/>
          <w:highlight w:val="none"/>
          <w:lang w:val="en-US" w:eastAsia="zh-CN"/>
        </w:rPr>
        <w:t xml:space="preserve">第二章 </w:t>
      </w:r>
      <w:r>
        <w:rPr>
          <w:rFonts w:hint="default" w:ascii="Times New Roman" w:hAnsi="Times New Roman" w:cs="Times New Roman"/>
          <w:highlight w:val="none"/>
          <w:lang w:eastAsia="zh-CN"/>
        </w:rPr>
        <w:t>强化稳岗就业</w:t>
      </w:r>
      <w:r>
        <w:rPr>
          <w:rFonts w:hint="default" w:ascii="Times New Roman" w:hAnsi="Times New Roman" w:cs="Times New Roman"/>
          <w:highlight w:val="none"/>
          <w:lang w:val="en-US" w:eastAsia="zh-CN"/>
        </w:rPr>
        <w:t xml:space="preserve"> 多渠道促进农民增收致富</w:t>
      </w:r>
      <w:bookmarkEnd w:id="171"/>
    </w:p>
    <w:p>
      <w:pPr>
        <w:pageBreakBefore w:val="0"/>
        <w:widowControl w:val="0"/>
        <w:kinsoku/>
        <w:wordWrap/>
        <w:topLinePunct w:val="0"/>
        <w:autoSpaceDE/>
        <w:autoSpaceDN/>
        <w:bidi w:val="0"/>
        <w:spacing w:line="620" w:lineRule="exact"/>
        <w:jc w:val="center"/>
        <w:textAlignment w:val="auto"/>
        <w:rPr>
          <w:rFonts w:hint="default" w:ascii="Times New Roman" w:hAnsi="Times New Roman" w:eastAsia="黑体" w:cs="Times New Roman"/>
          <w:b w:val="0"/>
          <w:bCs w:val="0"/>
          <w:sz w:val="36"/>
          <w:szCs w:val="36"/>
          <w:highlight w:val="none"/>
          <w:lang w:val="en-US" w:eastAsia="zh-CN"/>
        </w:rPr>
      </w:pPr>
    </w:p>
    <w:p>
      <w:pPr>
        <w:pageBreakBefore w:val="0"/>
        <w:widowControl w:val="0"/>
        <w:kinsoku/>
        <w:wordWrap/>
        <w:topLinePunct w:val="0"/>
        <w:autoSpaceDE/>
        <w:autoSpaceDN/>
        <w:bidi w:val="0"/>
        <w:spacing w:line="620" w:lineRule="exact"/>
        <w:jc w:val="both"/>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val="en-US" w:eastAsia="zh-CN"/>
        </w:rPr>
        <w:t xml:space="preserve">    第一节 </w:t>
      </w:r>
      <w:r>
        <w:rPr>
          <w:rFonts w:hint="default" w:ascii="Times New Roman" w:hAnsi="Times New Roman" w:eastAsia="方正仿宋_GBK" w:cs="Times New Roman"/>
          <w:b/>
          <w:bCs/>
          <w:sz w:val="32"/>
          <w:szCs w:val="32"/>
          <w:highlight w:val="none"/>
        </w:rPr>
        <w:t>强化产业带动就业作用</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聚焦“蔬菜、</w:t>
      </w:r>
      <w:r>
        <w:rPr>
          <w:rFonts w:hint="default" w:ascii="Times New Roman" w:hAnsi="Times New Roman" w:eastAsia="方正仿宋_GBK" w:cs="Times New Roman"/>
          <w:b w:val="0"/>
          <w:bCs w:val="0"/>
          <w:sz w:val="32"/>
          <w:szCs w:val="32"/>
          <w:highlight w:val="none"/>
          <w:lang w:eastAsia="zh-CN"/>
        </w:rPr>
        <w:t>畜牧</w:t>
      </w:r>
      <w:r>
        <w:rPr>
          <w:rFonts w:hint="default" w:ascii="Times New Roman" w:hAnsi="Times New Roman" w:eastAsia="方正仿宋_GBK" w:cs="Times New Roman"/>
          <w:b w:val="0"/>
          <w:bCs w:val="0"/>
          <w:sz w:val="32"/>
          <w:szCs w:val="32"/>
          <w:highlight w:val="none"/>
        </w:rPr>
        <w:t>、</w:t>
      </w:r>
      <w:r>
        <w:rPr>
          <w:rFonts w:hint="default" w:ascii="Times New Roman" w:hAnsi="Times New Roman" w:eastAsia="方正仿宋_GBK" w:cs="Times New Roman"/>
          <w:b w:val="0"/>
          <w:bCs w:val="0"/>
          <w:sz w:val="32"/>
          <w:szCs w:val="32"/>
          <w:highlight w:val="none"/>
          <w:lang w:eastAsia="zh-CN"/>
        </w:rPr>
        <w:t>农副产品精深加工、户外用品</w:t>
      </w:r>
      <w:r>
        <w:rPr>
          <w:rFonts w:hint="default" w:ascii="Times New Roman" w:hAnsi="Times New Roman" w:eastAsia="方正仿宋_GBK" w:cs="Times New Roman"/>
          <w:b w:val="0"/>
          <w:bCs w:val="0"/>
          <w:sz w:val="32"/>
          <w:szCs w:val="32"/>
          <w:highlight w:val="none"/>
        </w:rPr>
        <w:t>”</w:t>
      </w:r>
      <w:r>
        <w:rPr>
          <w:rFonts w:hint="default" w:ascii="Times New Roman" w:hAnsi="Times New Roman" w:eastAsia="方正仿宋_GBK" w:cs="Times New Roman"/>
          <w:b w:val="0"/>
          <w:bCs w:val="0"/>
          <w:sz w:val="32"/>
          <w:szCs w:val="32"/>
          <w:highlight w:val="none"/>
          <w:lang w:eastAsia="zh-CN"/>
        </w:rPr>
        <w:t>等</w:t>
      </w:r>
      <w:r>
        <w:rPr>
          <w:rFonts w:hint="default" w:ascii="Times New Roman" w:hAnsi="Times New Roman" w:eastAsia="方正仿宋_GBK" w:cs="Times New Roman"/>
          <w:b w:val="0"/>
          <w:bCs w:val="0"/>
          <w:sz w:val="32"/>
          <w:szCs w:val="32"/>
          <w:highlight w:val="none"/>
        </w:rPr>
        <w:t>主导产业深化发展，重点支持产业基础设施和全产业链开发，健全产业效益分配机制，把更多的就业岗位和产业链增值收益留给脱贫群众，有效提高脱贫人口在产业 发展中的经营性收入。</w:t>
      </w:r>
    </w:p>
    <w:p>
      <w:pPr>
        <w:pageBreakBefore w:val="0"/>
        <w:widowControl w:val="0"/>
        <w:kinsoku/>
        <w:wordWrap/>
        <w:topLinePunct w:val="0"/>
        <w:autoSpaceDE/>
        <w:autoSpaceDN/>
        <w:bidi w:val="0"/>
        <w:spacing w:line="620" w:lineRule="exact"/>
        <w:ind w:firstLine="640"/>
        <w:jc w:val="both"/>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eastAsia="zh-CN"/>
        </w:rPr>
        <w:t>第</w:t>
      </w:r>
      <w:r>
        <w:rPr>
          <w:rFonts w:hint="eastAsia" w:ascii="Times New Roman" w:hAnsi="Times New Roman" w:eastAsia="方正仿宋_GBK" w:cs="Times New Roman"/>
          <w:b/>
          <w:bCs/>
          <w:sz w:val="32"/>
          <w:szCs w:val="32"/>
          <w:highlight w:val="none"/>
          <w:lang w:eastAsia="zh-CN"/>
        </w:rPr>
        <w:t>二</w:t>
      </w:r>
      <w:r>
        <w:rPr>
          <w:rFonts w:hint="default" w:ascii="Times New Roman" w:hAnsi="Times New Roman" w:eastAsia="方正仿宋_GBK" w:cs="Times New Roman"/>
          <w:b/>
          <w:bCs/>
          <w:sz w:val="32"/>
          <w:szCs w:val="32"/>
          <w:highlight w:val="none"/>
          <w:lang w:eastAsia="zh-CN"/>
        </w:rPr>
        <w:t>节</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b/>
          <w:bCs/>
          <w:sz w:val="32"/>
          <w:szCs w:val="32"/>
          <w:highlight w:val="none"/>
        </w:rPr>
        <w:t>全面推广以工代赈方式</w:t>
      </w:r>
    </w:p>
    <w:p>
      <w:pPr>
        <w:pageBreakBefore w:val="0"/>
        <w:widowControl w:val="0"/>
        <w:kinsoku/>
        <w:wordWrap/>
        <w:topLinePunct w:val="0"/>
        <w:autoSpaceDE/>
        <w:autoSpaceDN/>
        <w:bidi w:val="0"/>
        <w:spacing w:line="620" w:lineRule="exact"/>
        <w:ind w:firstLine="64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方正仿宋_GBK" w:cs="Times New Roman"/>
          <w:b w:val="0"/>
          <w:bCs w:val="0"/>
          <w:sz w:val="32"/>
          <w:szCs w:val="32"/>
          <w:highlight w:val="none"/>
        </w:rPr>
        <w:t>进一步完善推广以工代赈方式工作机制。</w:t>
      </w:r>
      <w:r>
        <w:rPr>
          <w:rFonts w:hint="default" w:ascii="Times New Roman" w:hAnsi="Times New Roman" w:eastAsia="方正仿宋_GBK" w:cs="Times New Roman"/>
          <w:b w:val="0"/>
          <w:bCs w:val="0"/>
          <w:sz w:val="32"/>
          <w:szCs w:val="32"/>
          <w:highlight w:val="none"/>
          <w:lang w:eastAsia="zh-CN"/>
        </w:rPr>
        <w:t>积极</w:t>
      </w:r>
      <w:r>
        <w:rPr>
          <w:rFonts w:hint="default" w:ascii="Times New Roman" w:hAnsi="Times New Roman" w:eastAsia="方正仿宋_GBK" w:cs="Times New Roman"/>
          <w:b w:val="0"/>
          <w:bCs w:val="0"/>
          <w:sz w:val="32"/>
          <w:szCs w:val="32"/>
          <w:highlight w:val="none"/>
        </w:rPr>
        <w:t>召开以工代赈县级部门沟通协调联席会议，完善沟通协调机制，总结推广以工代赈方式工作经验和成效，进一步强化工作部署，推动政策落地落实；县直各相关部门负责提出并落实行业实施方案，推动推广以工代赈方式工作规范化、制度化；县直各相关部门在各自分管领域指导各乡镇政府，将符合条件的推广以工代赈方式项目，纳入当地巩固拓展脱贫攻坚成果和乡村振兴项目库，统筹推进实施。</w:t>
      </w:r>
    </w:p>
    <w:p>
      <w:pPr>
        <w:pageBreakBefore w:val="0"/>
        <w:widowControl w:val="0"/>
        <w:kinsoku/>
        <w:wordWrap/>
        <w:topLinePunct w:val="0"/>
        <w:autoSpaceDE/>
        <w:autoSpaceDN/>
        <w:bidi w:val="0"/>
        <w:spacing w:line="620" w:lineRule="exact"/>
        <w:jc w:val="center"/>
        <w:textAlignment w:val="auto"/>
        <w:rPr>
          <w:rFonts w:hint="default" w:ascii="Times New Roman" w:hAnsi="Times New Roman" w:eastAsia="黑体" w:cs="Times New Roman"/>
          <w:b w:val="0"/>
          <w:bCs w:val="0"/>
          <w:sz w:val="36"/>
          <w:szCs w:val="36"/>
          <w:lang w:val="en-US" w:eastAsia="zh-CN"/>
        </w:rPr>
      </w:pPr>
      <w:r>
        <w:rPr>
          <w:rFonts w:hint="default" w:ascii="Times New Roman" w:hAnsi="Times New Roman" w:eastAsia="黑体" w:cs="Times New Roman"/>
          <w:b w:val="0"/>
          <w:bCs w:val="0"/>
          <w:sz w:val="36"/>
          <w:szCs w:val="36"/>
          <w:lang w:val="en-US" w:eastAsia="zh-CN"/>
        </w:rPr>
        <w:t xml:space="preserve"> </w:t>
      </w:r>
    </w:p>
    <w:p>
      <w:pPr>
        <w:pStyle w:val="3"/>
        <w:pageBreakBefore w:val="0"/>
        <w:widowControl w:val="0"/>
        <w:kinsoku/>
        <w:wordWrap/>
        <w:topLinePunct w:val="0"/>
        <w:autoSpaceDE/>
        <w:autoSpaceDN/>
        <w:bidi w:val="0"/>
        <w:spacing w:line="620" w:lineRule="exact"/>
        <w:textAlignment w:val="auto"/>
        <w:rPr>
          <w:rFonts w:hint="default" w:ascii="Times New Roman" w:hAnsi="Times New Roman" w:cs="Times New Roman"/>
          <w:lang w:val="en-US" w:eastAsia="zh-CN"/>
        </w:rPr>
      </w:pPr>
      <w:bookmarkStart w:id="172" w:name="_Toc6634"/>
      <w:r>
        <w:rPr>
          <w:rFonts w:hint="default" w:ascii="Times New Roman" w:hAnsi="Times New Roman" w:cs="Times New Roman"/>
          <w:lang w:val="en-US" w:eastAsia="zh-CN"/>
        </w:rPr>
        <w:t>第三章 扎实稳妥推进乡村建设 持续改善农村面貌</w:t>
      </w:r>
      <w:bookmarkEnd w:id="172"/>
    </w:p>
    <w:p>
      <w:pPr>
        <w:pageBreakBefore w:val="0"/>
        <w:widowControl w:val="0"/>
        <w:kinsoku/>
        <w:wordWrap/>
        <w:topLinePunct w:val="0"/>
        <w:autoSpaceDE/>
        <w:autoSpaceDN/>
        <w:bidi w:val="0"/>
        <w:spacing w:line="620" w:lineRule="exact"/>
        <w:jc w:val="center"/>
        <w:textAlignment w:val="auto"/>
        <w:rPr>
          <w:rFonts w:hint="default" w:ascii="Times New Roman" w:hAnsi="Times New Roman" w:eastAsia="黑体" w:cs="Times New Roman"/>
          <w:b w:val="0"/>
          <w:bCs w:val="0"/>
          <w:sz w:val="36"/>
          <w:szCs w:val="36"/>
          <w:lang w:val="en-US" w:eastAsia="zh-CN"/>
        </w:rPr>
      </w:pP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b w:val="0"/>
          <w:bCs w:val="0"/>
          <w:sz w:val="36"/>
          <w:szCs w:val="36"/>
          <w:lang w:val="en-US" w:eastAsia="zh-CN"/>
        </w:rPr>
      </w:pPr>
      <w:r>
        <w:rPr>
          <w:rFonts w:hint="default" w:ascii="Times New Roman" w:hAnsi="Times New Roman" w:eastAsia="方正仿宋_GBK" w:cs="Times New Roman"/>
          <w:sz w:val="32"/>
          <w:szCs w:val="32"/>
        </w:rPr>
        <w:t>积极倡导农业清洁生产，积极发展循环型服务业。以稳步实施村庄清洁、农村改厕、农村生活垃圾治理、农村生活污水处理、村容村貌提升、村庄规划管理、建管护机制建设为重点，加速推进农村人居环境整治落地见效，严禁“三高”淘汰落后企业向农村转移，禁止随意焚烧垃圾。不断加强农村生活污水治理，加快乡镇污水处理站及配套管网建设，加强乡镇垃圾车、洒水车、清扫车、垃圾桶、铲车等环卫设施的维护和有效运营，保障农村垃圾收集与处置工作。继续实施农村“亮化”工程，建设完善村庄道路照明等配套公共设施，整治村庄架空线缆，推进“美丽庭院”创建活动，到2025年农村“厕所革命”任务完成率达到100%，强化绿化、亮化、硬化工程，全面改善村容村貌，推进农村“村旁、宅旁、路旁、水旁”绿化，开展乡村绿化美化工程试点和造林专业合作社试点，加大农田林网化建设，打造绿色生态村庄。到2025年，全县村庄绿化覆盖率达到25％以上，基本实现“山地森林化、农田林网化、村庄园林化、道路林荫化、庭院果园化”的乡村绿化格局。</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val="en-US" w:eastAsia="zh-CN"/>
        </w:rPr>
        <w:t xml:space="preserve">第一节 </w:t>
      </w:r>
      <w:r>
        <w:rPr>
          <w:rFonts w:hint="default" w:ascii="Times New Roman" w:hAnsi="Times New Roman" w:eastAsia="方正仿宋_GBK" w:cs="Times New Roman"/>
          <w:b/>
          <w:bCs/>
          <w:sz w:val="32"/>
          <w:szCs w:val="32"/>
          <w:highlight w:val="none"/>
        </w:rPr>
        <w:t>扎实推进农村厕所</w:t>
      </w:r>
      <w:r>
        <w:rPr>
          <w:rFonts w:hint="default" w:ascii="Times New Roman" w:hAnsi="Times New Roman" w:eastAsia="方正仿宋_GBK" w:cs="Times New Roman"/>
          <w:b/>
          <w:bCs/>
          <w:sz w:val="32"/>
          <w:szCs w:val="32"/>
        </w:rPr>
        <w:t>革命</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——合理确定具体任务</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sz w:val="32"/>
          <w:szCs w:val="32"/>
        </w:rPr>
        <w:t>以县域为单位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对农村户厕情况拉网式、全方位、全覆盖大排查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要求逐乡逐村逐户逐厕排查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准确摸清各村农村户籍数、应改建户厕数、已改建户厕数、未改建户厕数以及公共厕所等现状信息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全面梳理汇总情况</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认真征求农民群众意见建议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及时跟踪农民群众对厕所建设改造的新认识、新需求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以群众改厕需求为牵引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坚持自下而上</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科学合理确定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十四五</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期间改厕目标任务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分期分批推进</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做到求好不求快</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不突击冒进、不急于求成</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既尽力而为又量力而行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一年接着一年干</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真正把好事办好、实事办实。</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b/>
          <w:bCs/>
          <w:sz w:val="32"/>
          <w:szCs w:val="32"/>
          <w:lang w:eastAsia="zh-CN"/>
        </w:rPr>
        <w:t>科学编制改厕方案。</w:t>
      </w:r>
      <w:r>
        <w:rPr>
          <w:rFonts w:hint="default" w:ascii="Times New Roman" w:hAnsi="Times New Roman" w:eastAsia="方正仿宋_GBK" w:cs="Times New Roman"/>
          <w:sz w:val="32"/>
          <w:szCs w:val="32"/>
        </w:rPr>
        <w:t>围绕已建户厕的问题整改和尚未新改建的户厕提档升级目标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综合考虑农村现实因素</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坚持科学论证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逐级编制方案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确定改厕负责部门和负责领导</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细化年度任务、资金安排、奖补程序、验收考核等内容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画出任务图、列出时间表。</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b/>
          <w:bCs/>
          <w:sz w:val="32"/>
          <w:szCs w:val="32"/>
          <w:lang w:eastAsia="zh-CN"/>
        </w:rPr>
        <w:t>有序推进户厕整改。</w:t>
      </w:r>
      <w:r>
        <w:rPr>
          <w:rFonts w:hint="default" w:ascii="Times New Roman" w:hAnsi="Times New Roman" w:eastAsia="方正仿宋_GBK" w:cs="Times New Roman"/>
          <w:sz w:val="32"/>
          <w:szCs w:val="32"/>
        </w:rPr>
        <w:t>坚持问题导向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按照全</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农村厕所问题摸排整改工作的安排部署</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针对不同类型户厕中的个性问题、共性问题</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合理制定整改措施</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分级分类制定整改台账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明确整改重点、技术路线、力量组织、经费保障、时限要求等</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科学分类实施</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应改尽改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实行销号管理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完成一个</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销号一个</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做到全面整改。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b/>
          <w:bCs/>
          <w:sz w:val="32"/>
          <w:szCs w:val="32"/>
          <w:lang w:eastAsia="zh-CN"/>
        </w:rPr>
        <w:t>选择适宜技术模式。</w:t>
      </w:r>
      <w:r>
        <w:rPr>
          <w:rFonts w:hint="default" w:ascii="Times New Roman" w:hAnsi="Times New Roman" w:eastAsia="方正仿宋_GBK" w:cs="Times New Roman"/>
          <w:sz w:val="32"/>
          <w:szCs w:val="32"/>
        </w:rPr>
        <w:t>根据地理自然环境、经济状况、村镇建设规划、农户生活供水、居民生活习惯、农民意愿等情况</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坚持宜水则水、宜旱则旱</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宜集中则集中、宜分户则分户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科学合理、实事求是地从卫生、经济、适用、环保等方面综合考虑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合理确定改厕技术和模式。明确改厕模式。农村户厕建设应遵循科学选类型，合理选地址，统筹选模式，分类推进实施的原则，逐步推行以水冲式卫生厕所为主，双坑交替旱厕和其他卫生厕所模式为补充的“4+N”模式。合理选择位置。鼓励户厕入院入室，实现旱厕入院，水厕入室。</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 xml:space="preserve"> ——健全改厕标准体系</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sz w:val="32"/>
          <w:szCs w:val="32"/>
          <w:lang w:eastAsia="zh-CN"/>
        </w:rPr>
        <w:t>开展农村户厕设施设备、建设验收、运行维护、监测评估、管理服务等标准制定工作，补齐农村改厕标准体系短板，提高标准化意识。建立健全标准体系。充分考虑农村户用厕所建设的系统性、长期性和复杂性，聚焦重点难点，立足实践，有步骤、有计划、有层次地稳步推进农村厕所标准体系建设。统筹推进标准制订。立足实际，因地制宜制定农村户用厕所建设技术要求、验收、管理管护等方面的地方标准。严格遵循市场规律。发挥市场配置资源的作用，把满足市场需求和群众需要作为标准制修订的动力源泉，统筹考虑不同地区的地理、气候、民俗、经济发展阶段、产业发展需求和农民期盼，注重标准体系建设的普适性和实用性。推动标准实施推广。开展农村户用厕所建设与管护标准化试点，探索总结可复制可推广的经验做法，为全面推进农村户用厕所标准化建设工作提供示范引领。</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b/>
          <w:bCs/>
          <w:sz w:val="32"/>
          <w:szCs w:val="32"/>
          <w:lang w:eastAsia="zh-CN"/>
        </w:rPr>
        <w:t>完善运维管护机制。</w:t>
      </w:r>
      <w:r>
        <w:rPr>
          <w:rFonts w:hint="default" w:ascii="Times New Roman" w:hAnsi="Times New Roman" w:eastAsia="方正仿宋_GBK" w:cs="Times New Roman"/>
          <w:sz w:val="32"/>
          <w:szCs w:val="32"/>
          <w:lang w:eastAsia="zh-CN"/>
        </w:rPr>
        <w:t>坚持建管并重，充分发挥村级组织和农民主体作用，建立专业的厕所管护机构，做到有标准执行、有制度管护、有资金维护、有专人看护，形成规范化的运行维护机制。</w:t>
      </w:r>
      <w:r>
        <w:rPr>
          <w:rFonts w:hint="default" w:ascii="Times New Roman" w:hAnsi="Times New Roman" w:eastAsia="方正仿宋_GBK" w:cs="Times New Roman"/>
          <w:b w:val="0"/>
          <w:bCs w:val="0"/>
          <w:sz w:val="32"/>
          <w:szCs w:val="32"/>
          <w:lang w:eastAsia="zh-CN"/>
        </w:rPr>
        <w:t>培育壮大管护队伍。</w:t>
      </w:r>
      <w:r>
        <w:rPr>
          <w:rFonts w:hint="default" w:ascii="Times New Roman" w:hAnsi="Times New Roman" w:eastAsia="方正仿宋_GBK" w:cs="Times New Roman"/>
          <w:sz w:val="32"/>
          <w:szCs w:val="32"/>
          <w:lang w:eastAsia="zh-CN"/>
        </w:rPr>
        <w:t>充分利用行政村农民夜校、县中等职业技术学校以及实训基地等各类培训机构和师资力量，把当地村民培养成为村内公益性基础设施运行维护的重要力量和明白人。</w:t>
      </w:r>
      <w:r>
        <w:rPr>
          <w:rFonts w:hint="default" w:ascii="Times New Roman" w:hAnsi="Times New Roman" w:eastAsia="方正仿宋_GBK" w:cs="Times New Roman"/>
          <w:b w:val="0"/>
          <w:bCs w:val="0"/>
          <w:sz w:val="32"/>
          <w:szCs w:val="32"/>
          <w:lang w:eastAsia="zh-CN"/>
        </w:rPr>
        <w:t>推进市场运维管理。</w:t>
      </w:r>
      <w:r>
        <w:rPr>
          <w:rFonts w:hint="default" w:ascii="Times New Roman" w:hAnsi="Times New Roman" w:eastAsia="方正仿宋_GBK" w:cs="Times New Roman"/>
          <w:sz w:val="32"/>
          <w:szCs w:val="32"/>
          <w:lang w:eastAsia="zh-CN"/>
        </w:rPr>
        <w:t>建立政府全程管理的运维管护机制，统筹城乡厕所粪污管理，将城建、环卫等部门承担的厕所粪污治理向农村延伸，构建城乡一体化的处理体系。鼓励采用政府购买服务的方式，有序推进运行市场化、工作专业化、装备机械化、管理信息化的步伐。引导当地农民或市场主体组建社会化、专业化、职业化服务队伍，建立新型农业经营主体或设立公益性岗位开展便捷、经济的设备巡查维修、粪污清掏无害化处理和资源化利用服务工作。探索建立政府引导、农民付费与市场运作相结合的后续管护，形成财政补贴与农户付费合理分担机制。</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val="en-US" w:eastAsia="zh-CN"/>
        </w:rPr>
        <w:t xml:space="preserve">第二节 </w:t>
      </w:r>
      <w:r>
        <w:rPr>
          <w:rFonts w:hint="default" w:ascii="Times New Roman" w:hAnsi="Times New Roman" w:eastAsia="方正仿宋_GBK" w:cs="Times New Roman"/>
          <w:b/>
          <w:bCs/>
          <w:sz w:val="32"/>
          <w:szCs w:val="32"/>
        </w:rPr>
        <w:t>全面推进农村生活垃圾治理</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完善农村垃圾处理“户分类、组定点、村收集、乡镇集中、县运输处理”的五级运行机制，健全农村生活垃圾收运处理体系，综合治理农村存量生活垃圾。在偏远乡镇建设垃圾处理厂、部分乡镇建设垃圾填埋场、垃圾中转站，着眼长效，完善垃圾处理管理机制。建立健全农村垃圾处理日常保洁、清运和管理工作。到2023年，对生活垃圾进行处理的村占比不低于50%。到2025年，对生活垃圾进行处理的村占比达85%。</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eastAsia="zh-CN"/>
        </w:rPr>
        <w:t>第三节</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梯次推进农村生活污水治理</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sz w:val="32"/>
          <w:szCs w:val="32"/>
        </w:rPr>
        <w:t>污水处理站应结合厕所革命项目统一规划布局，有效统筹推进农村污水治理工作，连片建设城乡生活污水处理设施。对城镇周边的村庄生活污水优先纳入城镇污水系统统一处理，在离城镇较远但人口规模较大的村庄优先建设集中式污水处理设施，人口规模较小、边远山区的农村采用小型分散式污水处理设施。到2025年，疏勒县完成</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个村庄农村生活污水治理工作，农村生活污水处理设施出水污染物排放达标率不低于95%。</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eastAsia="zh-CN"/>
        </w:rPr>
        <w:t>第四节</w:t>
      </w:r>
      <w:r>
        <w:rPr>
          <w:rFonts w:hint="default" w:ascii="Times New Roman" w:hAnsi="Times New Roman" w:eastAsia="方正仿宋_GBK" w:cs="Times New Roman"/>
          <w:b/>
          <w:bCs/>
          <w:sz w:val="32"/>
          <w:szCs w:val="32"/>
          <w:lang w:val="en-US" w:eastAsia="zh-CN"/>
        </w:rPr>
        <w:t xml:space="preserve"> 村内道路硬化</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b/>
          <w:bCs/>
          <w:kern w:val="0"/>
          <w:sz w:val="32"/>
          <w:szCs w:val="32"/>
        </w:rPr>
        <w:t>健全城乡道路交通网络。</w:t>
      </w:r>
      <w:r>
        <w:rPr>
          <w:rFonts w:hint="default" w:ascii="Times New Roman" w:hAnsi="Times New Roman" w:eastAsia="方正仿宋_GBK" w:cs="Times New Roman"/>
          <w:kern w:val="0"/>
          <w:sz w:val="32"/>
          <w:szCs w:val="32"/>
        </w:rPr>
        <w:t>以“四好农村路”建设为抓手，优化路网结构，提高农村公路建设标准，大力实施农村公路升级改造、窄路加宽、断头路、联网路、旅游路、产业路的建设，重点对15个乡镇、228个行政村485公里的土路中未占用基本农田的道路进行改造，对X451线等5条县道151公里道路进行改造提升，对Y183、Y161线、Y201线等道路进行改造提升或路面改造。加强路域环境整治，推动农村公路融入大交通，构建便捷、安全、高效的交通运输服务网络。加大农村交通设施建设的投入力度，全面建设乡村客车站、生态停车场等基础设施。</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b/>
          <w:bCs/>
          <w:kern w:val="0"/>
          <w:sz w:val="32"/>
          <w:szCs w:val="32"/>
        </w:rPr>
        <w:t>建设农村物流网络设施。</w:t>
      </w:r>
      <w:r>
        <w:rPr>
          <w:rFonts w:hint="default" w:ascii="Times New Roman" w:hAnsi="Times New Roman" w:eastAsia="方正仿宋_GBK" w:cs="Times New Roman"/>
          <w:kern w:val="0"/>
          <w:sz w:val="32"/>
          <w:szCs w:val="32"/>
        </w:rPr>
        <w:t>构建农村物流基础设施骨干网络，完善商贸、邮政快递、运输等企业在农村地区的设施网络布局，加快铁路货运物流节点设施建设。整合优化现有物流要素资源，以邮政快递、商贸、供销、交通等物流设施为基础，加快推进农村物流网络节点建设。完善农村物流基础设施末端网络，推动县级仓储配送中心，农村物流快递公共取送点等建设。促进建设标准化、管理规范化、服务多元化，全面提升农村物流站点服务能力和水平，形成县乡村互联、畅通高效的物流网络体系，重点解决物流入村“最后一公里”问题。支持农贸市场、农村“夫妻店”等传统流通网点改进提升现有设施设备，拓展配送等物流服务功能。到2023年，在行政村和具备条件的自然村基本实现物流配送网点全覆盖。</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b/>
          <w:bCs/>
          <w:kern w:val="0"/>
          <w:sz w:val="32"/>
          <w:szCs w:val="32"/>
        </w:rPr>
        <w:t>加强公路养护管理提升。</w:t>
      </w:r>
      <w:r>
        <w:rPr>
          <w:rFonts w:hint="default" w:ascii="Times New Roman" w:hAnsi="Times New Roman" w:eastAsia="方正仿宋_GBK" w:cs="Times New Roman"/>
          <w:kern w:val="0"/>
          <w:sz w:val="32"/>
          <w:szCs w:val="32"/>
        </w:rPr>
        <w:t>构建农村公路管理养护长效机制，建立完善县、乡、村三级公路管养体系，加强日常监督检查、考核，逐步提高乡、村公路养护管理水平。成立专业的绿化养护、桥隧管养专业队伍，稳步提高管理养护水平。农村公路加大管养的监管力度，试点开展“干线化”养护工程，实现县乡公路养护生产专业化、管理规范化目标。完善农村公路交通安全监管体系，完善交通信息化建设，推进农村道路监管硬件设施建设，健全监管机构、增强监管力量，探索实行超限运输非现场执法。完善道路基础设施，打造一批“亮点鲜明、独具特色”的“美丽公路”。</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val="en-US" w:eastAsia="zh-CN"/>
        </w:rPr>
        <w:t xml:space="preserve">第五节 </w:t>
      </w:r>
      <w:r>
        <w:rPr>
          <w:rFonts w:hint="default" w:ascii="Times New Roman" w:hAnsi="Times New Roman" w:eastAsia="方正仿宋_GBK" w:cs="Times New Roman"/>
          <w:b/>
          <w:bCs/>
          <w:sz w:val="32"/>
          <w:szCs w:val="32"/>
        </w:rPr>
        <w:t>全面优化提升村容村貌</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b/>
          <w:bCs/>
          <w:sz w:val="32"/>
          <w:szCs w:val="32"/>
          <w:lang w:val="en-US" w:eastAsia="zh-CN"/>
        </w:rPr>
        <w:t>全域推进美丽乡村建设。</w:t>
      </w:r>
      <w:r>
        <w:rPr>
          <w:rFonts w:hint="default" w:ascii="Times New Roman" w:hAnsi="Times New Roman" w:eastAsia="方正仿宋_GBK" w:cs="Times New Roman"/>
          <w:b w:val="0"/>
          <w:bCs w:val="0"/>
          <w:sz w:val="32"/>
          <w:szCs w:val="32"/>
          <w:lang w:val="en-US" w:eastAsia="zh-CN"/>
        </w:rPr>
        <w:t>以“示范村”创建为抓手，实施全域规划、全域提升、全域建设、全域管理，推进美丽庭院、特色村落、风景线、示范乡镇四级联创，形成“一户一处景、一村一幅画、一线一风光、一县一品牌”。以“点”带动，扮靓美丽庭院。以村为驱动，培育特色精品村落；以“线”推动，打造美丽风景线；以“域”联动，建设宜居乡村示范乡镇，引领全县乡村整体美丽。围绕“地绿、水净、安居、乐业、增收”目标，着力抓好扶贫解困、产业提升、旧村改造、环境整治和文化传承“五大行动”，大力推广“小规模、组团式、微田园、生态化”建设模式，打造具有疏勒特色的幸福美丽新村升级版。按照“住上好房子、过上好日子、养成好习惯、形成好风气”要求，规范程序，严格标准，强化引导扶持，深入推进“示范村”创建活动。推进“美丽庭院”创建活动，鼓励农村妇女积极参与，按照“四好三美一卫生”创建标准（四好即：思想好、学习好、家风好、团结好；三美即：人美、屋美、庭院美；一卫生即：家庭厕所卫生），提升庭院环境。</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b/>
          <w:bCs/>
          <w:sz w:val="32"/>
          <w:szCs w:val="32"/>
          <w:lang w:val="en-US" w:eastAsia="zh-CN"/>
        </w:rPr>
        <w:t>全面开展村容村貌提升。</w:t>
      </w:r>
      <w:r>
        <w:rPr>
          <w:rFonts w:hint="default" w:ascii="Times New Roman" w:hAnsi="Times New Roman" w:eastAsia="方正仿宋_GBK" w:cs="Times New Roman"/>
          <w:b w:val="0"/>
          <w:bCs w:val="0"/>
          <w:sz w:val="32"/>
          <w:szCs w:val="32"/>
          <w:lang w:val="en-US" w:eastAsia="zh-CN"/>
        </w:rPr>
        <w:t>清理乡村道路、村庄周边积存垃圾，做到及时清运、集中填埋处理；清理村庄道路、巷道旁乱堆乱放的柴草杂物，重点防止柴草乱放、粪土乱堆、垃圾乱倒、污水乱流、畜禽乱跑等“五乱”现象的发生；拆除主要交通路线和村内侵街占道的私搭乱建，并进行绿化美化处理；清除房前屋后垃圾、杂物，清理畜禽粪便，规整院内堆放物品；因地制宜绿化乡土空间，完善现有绿化设施；拆除违章建筑，统一整治村庄建筑风貌，规范户外广告、路牌和公共标志；积极推广节能灯和太阳能灯，村庄集中居住区要安装路灯，修缮提升路灯亮化设施；重点治理村内主干道、农村集中居住区污水排放，建议采用生态生物污水处理方式。</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b/>
          <w:bCs/>
          <w:sz w:val="32"/>
          <w:szCs w:val="32"/>
          <w:lang w:val="en-US" w:eastAsia="zh-CN"/>
        </w:rPr>
        <w:t>开展绿色家园建设行动。</w:t>
      </w:r>
      <w:r>
        <w:rPr>
          <w:rFonts w:hint="default" w:ascii="Times New Roman" w:hAnsi="Times New Roman" w:eastAsia="方正仿宋_GBK" w:cs="Times New Roman"/>
          <w:b w:val="0"/>
          <w:bCs w:val="0"/>
          <w:sz w:val="32"/>
          <w:szCs w:val="32"/>
          <w:lang w:val="en-US" w:eastAsia="zh-CN"/>
        </w:rPr>
        <w:t>因地制宜、适地适树，采取“村边防护林、街道景观林、庭院经济林”的模式，实现庭院、村庄、沟渠、通道、农田全面增绿，加快形成道路与河岸乔木林、房前屋后果木林、村庄周围防护林的村庄绿化格局，着力打造体现文化特色、彰显花果景观、发展集中连片、产业旅游融合的美丽新农村，并加以景观小品、景观标识牌点缀。加快机关、企业单位和居民小区绿化美化，实现居民推窗见绿，出门见树。</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p>
    <w:p>
      <w:pPr>
        <w:pStyle w:val="3"/>
        <w:pageBreakBefore w:val="0"/>
        <w:widowControl w:val="0"/>
        <w:kinsoku/>
        <w:wordWrap/>
        <w:topLinePunct w:val="0"/>
        <w:autoSpaceDE/>
        <w:autoSpaceDN/>
        <w:bidi w:val="0"/>
        <w:spacing w:line="620" w:lineRule="exact"/>
        <w:textAlignment w:val="auto"/>
        <w:rPr>
          <w:rFonts w:hint="default" w:ascii="Times New Roman" w:hAnsi="Times New Roman" w:cs="Times New Roman"/>
          <w:lang w:val="en-US" w:eastAsia="zh-CN"/>
        </w:rPr>
      </w:pPr>
      <w:bookmarkStart w:id="173" w:name="_Toc19730"/>
      <w:r>
        <w:rPr>
          <w:rFonts w:hint="default" w:ascii="Times New Roman" w:hAnsi="Times New Roman" w:cs="Times New Roman"/>
          <w:lang w:val="en-US" w:eastAsia="zh-CN"/>
        </w:rPr>
        <w:t>第四章 加强公共服务保障 补齐农村基本公共服务短板</w:t>
      </w:r>
      <w:bookmarkEnd w:id="173"/>
    </w:p>
    <w:p>
      <w:pPr>
        <w:pageBreakBefore w:val="0"/>
        <w:widowControl w:val="0"/>
        <w:kinsoku/>
        <w:wordWrap/>
        <w:topLinePunct w:val="0"/>
        <w:autoSpaceDE/>
        <w:autoSpaceDN/>
        <w:bidi w:val="0"/>
        <w:spacing w:line="620" w:lineRule="exact"/>
        <w:jc w:val="center"/>
        <w:textAlignment w:val="auto"/>
        <w:rPr>
          <w:rFonts w:hint="default" w:ascii="Times New Roman" w:hAnsi="Times New Roman" w:eastAsia="黑体" w:cs="Times New Roman"/>
          <w:b w:val="0"/>
          <w:bCs w:val="0"/>
          <w:sz w:val="36"/>
          <w:szCs w:val="36"/>
          <w:lang w:val="en-US" w:eastAsia="zh-CN"/>
        </w:rPr>
      </w:pP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b/>
          <w:bCs/>
          <w:sz w:val="32"/>
          <w:szCs w:val="32"/>
          <w:highlight w:val="none"/>
          <w:lang w:eastAsia="zh-CN"/>
        </w:rPr>
      </w:pPr>
      <w:r>
        <w:rPr>
          <w:rFonts w:hint="default" w:ascii="Times New Roman" w:hAnsi="Times New Roman" w:eastAsia="方正仿宋_GBK" w:cs="Times New Roman"/>
          <w:b/>
          <w:bCs/>
          <w:sz w:val="32"/>
          <w:szCs w:val="32"/>
          <w:highlight w:val="none"/>
          <w:lang w:val="en-US" w:eastAsia="zh-CN"/>
        </w:rPr>
        <w:t xml:space="preserve">第一节 </w:t>
      </w:r>
      <w:r>
        <w:rPr>
          <w:rFonts w:hint="default" w:ascii="Times New Roman" w:hAnsi="Times New Roman" w:eastAsia="方正仿宋_GBK" w:cs="Times New Roman"/>
          <w:b/>
          <w:bCs/>
          <w:sz w:val="32"/>
          <w:szCs w:val="32"/>
          <w:highlight w:val="none"/>
          <w:lang w:eastAsia="zh-CN"/>
        </w:rPr>
        <w:t>“煤改电”工程</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b w:val="0"/>
          <w:bCs w:val="0"/>
          <w:sz w:val="32"/>
          <w:szCs w:val="32"/>
          <w:highlight w:val="yellow"/>
          <w:lang w:eastAsia="zh-CN"/>
        </w:rPr>
      </w:pPr>
      <w:r>
        <w:rPr>
          <w:rFonts w:hint="default" w:ascii="Times New Roman" w:hAnsi="Times New Roman" w:eastAsia="方正仿宋_GBK" w:cs="Times New Roman"/>
          <w:spacing w:val="0"/>
          <w:position w:val="0"/>
          <w:sz w:val="32"/>
          <w:szCs w:val="32"/>
        </w:rPr>
        <w:t>充分发挥市场在资源配置中的决定性作用，利用电采暖清洁、安全、方便、电价优惠等优势，引导和鼓励农户选择冬季电采暖取暖方式。居民入户工程按照每户50平方、4千瓦的标准进行建设，优先选取收入水平较高、家庭富裕的农户开展建设工作，合理安排脱贫户改造规模，不增加地方政府债务风险。保障农户基本供暖需求。坚持整村连片推进，优先在供电可靠、住房安全的安居富民、抗震改造、扶贫搬迁、电网保障等集中连片区域进行建设，偏远、分散区域后续实施，确保工程建设顺利推进，电采暖运行取得良好成效。</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bCs/>
          <w:sz w:val="32"/>
          <w:szCs w:val="32"/>
          <w:lang w:val="en-US" w:eastAsia="zh-CN"/>
        </w:rPr>
        <w:t xml:space="preserve">第二节 </w:t>
      </w:r>
      <w:r>
        <w:rPr>
          <w:rFonts w:hint="default" w:ascii="Times New Roman" w:hAnsi="Times New Roman" w:eastAsia="方正仿宋_GBK" w:cs="Times New Roman"/>
          <w:b/>
          <w:bCs/>
          <w:sz w:val="32"/>
          <w:szCs w:val="32"/>
        </w:rPr>
        <w:t>网络通信工程</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sz w:val="32"/>
          <w:szCs w:val="32"/>
          <w:lang w:eastAsia="zh-CN"/>
        </w:rPr>
        <w:t>大力发展</w:t>
      </w:r>
      <w:r>
        <w:rPr>
          <w:rFonts w:hint="default" w:ascii="Times New Roman" w:hAnsi="Times New Roman" w:eastAsia="方正仿宋_GBK" w:cs="Times New Roman"/>
          <w:sz w:val="32"/>
          <w:szCs w:val="32"/>
          <w:lang w:val="en-US" w:eastAsia="zh-CN"/>
        </w:rPr>
        <w:t>宽带网络建设，到2025年底完成对抵边村及部分弱覆盖点位进行建设及库山河流域、盖孜河流域宽带建设。加快5G网络基站建设，2025年底完成疏勒县阿拉力乡、疏勒县库木西力克乡、疏勒县罕南力镇、疏勒县巴仁乡、疏勒县亚曼牙乡等5G网络建设。配合完成“平安乡村”数字化建设，十四五期间对宽带已覆盖村，配合完成“平安乡村”数字化建设。</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第三节 实施公共服务建设</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b/>
          <w:bCs/>
          <w:sz w:val="32"/>
          <w:szCs w:val="32"/>
          <w:lang w:val="en-US" w:eastAsia="zh-CN"/>
        </w:rPr>
        <w:t>优化农村教育体系建设。</w:t>
      </w:r>
      <w:r>
        <w:rPr>
          <w:rFonts w:hint="default" w:ascii="Times New Roman" w:hAnsi="Times New Roman" w:eastAsia="方正仿宋_GBK" w:cs="Times New Roman"/>
          <w:sz w:val="32"/>
          <w:szCs w:val="32"/>
          <w:lang w:val="en-US" w:eastAsia="zh-CN"/>
        </w:rPr>
        <w:t>推动建立以城带乡、整体推进、城乡一体、均衡发展的义务教育发展机制。巩固提高学前教育成果，加强农村学前教育，鼓励普惠性幼儿园发展，提高幼儿园保育教育质量。统筹规划农村义务教育学校布局，落实义务教育管理标准，改善农村义务教育薄弱学校基本办学条件，加强乡镇寄宿制学校建设和管理，办好必要的农村小规模学校和教学点，保障学生就近享有优质教育。</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b/>
          <w:bCs/>
          <w:sz w:val="32"/>
          <w:szCs w:val="32"/>
          <w:lang w:val="en-US" w:eastAsia="zh-CN"/>
        </w:rPr>
        <w:t>提升农村医疗体系建设。</w:t>
      </w:r>
      <w:r>
        <w:rPr>
          <w:rFonts w:hint="default" w:ascii="Times New Roman" w:hAnsi="Times New Roman" w:eastAsia="方正仿宋_GBK" w:cs="Times New Roman"/>
          <w:sz w:val="32"/>
          <w:szCs w:val="32"/>
          <w:lang w:val="en-US" w:eastAsia="zh-CN"/>
        </w:rPr>
        <w:t>加快医疗卫生设施建设。统一主导基层医疗卫生机构建设，加快医疗卫生设施建设进程。多方筹集资金解决医疗机构业务用房，大力发展社会办医。持续实施基层医疗能力提升工程，改善农村基层医疗卫生硬件设施。统一为乡镇卫生院、村卫生室配备必要的诊疗设备。加快乡村医疗卫生信息化建设进程，实现医疗信息共享互联互通。</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b/>
          <w:bCs/>
          <w:sz w:val="32"/>
          <w:szCs w:val="32"/>
          <w:lang w:val="en-US" w:eastAsia="zh-CN"/>
        </w:rPr>
        <w:t>全面提升农村文体服务设施。</w:t>
      </w:r>
      <w:r>
        <w:rPr>
          <w:rFonts w:hint="default" w:ascii="Times New Roman" w:hAnsi="Times New Roman" w:eastAsia="方正仿宋_GBK" w:cs="Times New Roman"/>
          <w:sz w:val="32"/>
          <w:szCs w:val="32"/>
          <w:lang w:val="en-US" w:eastAsia="zh-CN"/>
        </w:rPr>
        <w:t>加强乡村文化设施建设。按照有标准、有网络、有内容、有人才的要求，重点加强图书室、乡镇文化站、村综合文化服务中心、广播网络、农家书屋等设施的建设管理，推动公共文化服务向社区、农村延伸，形成覆盖城乡、惠及全民的公共文化服务设施体系。至2023年，村综合文化服务中心覆盖率不低于98%。到2025年，完善县、乡镇、村三级文化基础建设体系，落实乡村文化基础设施全覆盖。</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b/>
          <w:bCs/>
          <w:sz w:val="32"/>
          <w:szCs w:val="32"/>
          <w:lang w:val="en-US" w:eastAsia="zh-CN"/>
        </w:rPr>
        <w:t>完善殡葬公共服务体系和规范化建设。</w:t>
      </w:r>
      <w:r>
        <w:rPr>
          <w:rFonts w:hint="default" w:ascii="Times New Roman" w:hAnsi="Times New Roman" w:eastAsia="方正仿宋_GBK" w:cs="Times New Roman"/>
          <w:sz w:val="32"/>
          <w:szCs w:val="32"/>
          <w:lang w:val="en-US" w:eastAsia="zh-CN"/>
        </w:rPr>
        <w:t>加快补齐殡葬公共服务设施短板。科学确定殡葬服务设施设备标准，改造提升殡葬设施设备，加快补齐殡仪馆、乡镇殡仪服务站点等设施及相关服务短板，推动形成覆盖城乡、布局合理、功能齐全、便民惠民、绿色文明的基本殡葬服务网络。</w:t>
      </w:r>
    </w:p>
    <w:p>
      <w:pPr>
        <w:pageBreakBefore w:val="0"/>
        <w:widowControl w:val="0"/>
        <w:kinsoku/>
        <w:wordWrap/>
        <w:topLinePunct w:val="0"/>
        <w:autoSpaceDE/>
        <w:autoSpaceDN/>
        <w:bidi w:val="0"/>
        <w:spacing w:line="620" w:lineRule="exact"/>
        <w:jc w:val="both"/>
        <w:textAlignment w:val="auto"/>
        <w:rPr>
          <w:rFonts w:hint="default" w:ascii="Times New Roman" w:hAnsi="Times New Roman" w:eastAsia="黑体" w:cs="Times New Roman"/>
          <w:b w:val="0"/>
          <w:bCs w:val="0"/>
          <w:sz w:val="36"/>
          <w:szCs w:val="36"/>
          <w:lang w:val="en-US" w:eastAsia="zh-CN"/>
        </w:rPr>
      </w:pPr>
    </w:p>
    <w:p>
      <w:pPr>
        <w:pStyle w:val="3"/>
        <w:pageBreakBefore w:val="0"/>
        <w:widowControl w:val="0"/>
        <w:kinsoku/>
        <w:wordWrap/>
        <w:topLinePunct w:val="0"/>
        <w:autoSpaceDE/>
        <w:autoSpaceDN/>
        <w:bidi w:val="0"/>
        <w:spacing w:line="620" w:lineRule="exact"/>
        <w:textAlignment w:val="auto"/>
        <w:rPr>
          <w:rFonts w:hint="default" w:ascii="Times New Roman" w:hAnsi="Times New Roman" w:cs="Times New Roman"/>
          <w:lang w:val="en-US" w:eastAsia="zh-CN"/>
        </w:rPr>
      </w:pPr>
      <w:bookmarkStart w:id="174" w:name="_Toc24224"/>
      <w:r>
        <w:rPr>
          <w:rFonts w:hint="default" w:ascii="Times New Roman" w:hAnsi="Times New Roman" w:cs="Times New Roman"/>
          <w:lang w:val="en-US" w:eastAsia="zh-CN"/>
        </w:rPr>
        <w:t>第五章 突出改进乡村治理 提升乡村治理能力水平</w:t>
      </w:r>
      <w:bookmarkEnd w:id="174"/>
    </w:p>
    <w:p>
      <w:pPr>
        <w:pageBreakBefore w:val="0"/>
        <w:widowControl w:val="0"/>
        <w:kinsoku/>
        <w:wordWrap/>
        <w:topLinePunct w:val="0"/>
        <w:autoSpaceDE/>
        <w:autoSpaceDN/>
        <w:bidi w:val="0"/>
        <w:spacing w:line="620" w:lineRule="exact"/>
        <w:ind w:left="0" w:leftChars="0" w:firstLine="0" w:firstLineChars="0"/>
        <w:jc w:val="both"/>
        <w:textAlignment w:val="auto"/>
        <w:rPr>
          <w:rFonts w:hint="default" w:ascii="Times New Roman" w:hAnsi="Times New Roman" w:eastAsia="黑体" w:cs="Times New Roman"/>
          <w:b w:val="0"/>
          <w:bCs w:val="0"/>
          <w:sz w:val="36"/>
          <w:szCs w:val="36"/>
          <w:lang w:val="en-US" w:eastAsia="zh-CN"/>
        </w:rPr>
      </w:pPr>
    </w:p>
    <w:p>
      <w:pPr>
        <w:pageBreakBefore w:val="0"/>
        <w:widowControl w:val="0"/>
        <w:kinsoku/>
        <w:wordWrap/>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eastAsia="zh-CN"/>
        </w:rPr>
        <w:t>第一节</w:t>
      </w:r>
      <w:r>
        <w:rPr>
          <w:rFonts w:hint="default" w:ascii="Times New Roman" w:hAnsi="Times New Roman" w:eastAsia="方正仿宋_GBK" w:cs="Times New Roman"/>
          <w:b/>
          <w:bCs/>
          <w:color w:val="auto"/>
          <w:sz w:val="32"/>
          <w:szCs w:val="32"/>
          <w:highlight w:val="none"/>
          <w:lang w:val="en-US" w:eastAsia="zh-CN"/>
        </w:rPr>
        <w:t xml:space="preserve"> 充分发挥农村基层党组织作用</w:t>
      </w:r>
    </w:p>
    <w:p>
      <w:pPr>
        <w:pageBreakBefore w:val="0"/>
        <w:widowControl w:val="0"/>
        <w:kinsoku/>
        <w:wordWrap/>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b/>
          <w:bCs/>
          <w:color w:val="auto"/>
          <w:sz w:val="32"/>
          <w:szCs w:val="32"/>
          <w:highlight w:val="none"/>
        </w:rPr>
        <w:t>在发挥政治引领上下功夫</w:t>
      </w:r>
      <w:r>
        <w:rPr>
          <w:rFonts w:hint="default"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val="0"/>
          <w:bCs w:val="0"/>
          <w:color w:val="auto"/>
          <w:sz w:val="32"/>
          <w:szCs w:val="32"/>
          <w:highlight w:val="none"/>
        </w:rPr>
        <w:t>严格落实</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五级书记</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抓乡村振兴的要求</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农村基层党组织是党的政策在农村的执行者，是党在农村全部工作和战斗力的基础，其作用发挥成效直接影响着乡村振兴的效果</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推动各级党组织把党建引领乡村振兴作为</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一把手工程</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狠抓工作落实</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抓党建促</w:t>
      </w:r>
      <w:r>
        <w:rPr>
          <w:rFonts w:hint="default" w:ascii="Times New Roman" w:hAnsi="Times New Roman" w:eastAsia="方正仿宋_GBK" w:cs="Times New Roman"/>
          <w:color w:val="auto"/>
          <w:sz w:val="32"/>
          <w:szCs w:val="32"/>
          <w:highlight w:val="none"/>
        </w:rPr>
        <w:t>乡村振兴不能停留在文件里、方案上，要把抓落实作为开展工作的主要方式，具体体现在工作措施上、工作流程上、工作环节上。</w:t>
      </w:r>
    </w:p>
    <w:p>
      <w:pPr>
        <w:pageBreakBefore w:val="0"/>
        <w:widowControl w:val="0"/>
        <w:kinsoku/>
        <w:wordWrap/>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b/>
          <w:bCs/>
          <w:color w:val="auto"/>
          <w:sz w:val="32"/>
          <w:szCs w:val="32"/>
          <w:highlight w:val="none"/>
        </w:rPr>
        <w:t>在筑牢“战斗堡垒”上下功夫。</w:t>
      </w:r>
      <w:r>
        <w:rPr>
          <w:rFonts w:hint="default" w:ascii="Times New Roman" w:hAnsi="Times New Roman" w:eastAsia="方正仿宋_GBK" w:cs="Times New Roman"/>
          <w:color w:val="auto"/>
          <w:sz w:val="32"/>
          <w:szCs w:val="32"/>
          <w:highlight w:val="none"/>
        </w:rPr>
        <w:t>农村基层党组织是党在农村的领导力量，是联系群众的桥梁和纽带，是实施乡村振兴的指挥者、先锋队和战斗员。推动乡镇党委切实抓好村“两委”换届，在坚持政治标准的前提下，大力提拔懂发展善治理、有干劲会干事、甘于奉献、敢闯敢拼、能够团结带领群众推进乡村振兴的优秀人员进入村“两委”班子</w:t>
      </w:r>
      <w:r>
        <w:rPr>
          <w:rFonts w:hint="default" w:ascii="Times New Roman" w:hAnsi="Times New Roman" w:eastAsia="方正仿宋_GBK" w:cs="Times New Roman"/>
          <w:color w:val="auto"/>
          <w:sz w:val="32"/>
          <w:szCs w:val="32"/>
          <w:highlight w:val="none"/>
          <w:lang w:eastAsia="zh-CN"/>
        </w:rPr>
        <w:t>。坚持打建并举、标本兼治，严格落实各级党组织特别是县乡党委全面从严治党主体责任，切实从组织上坚决防范和整治“村霸”问题。</w:t>
      </w:r>
      <w:r>
        <w:rPr>
          <w:rFonts w:hint="default" w:ascii="Times New Roman" w:hAnsi="Times New Roman" w:eastAsia="方正仿宋_GBK" w:cs="Times New Roman"/>
          <w:color w:val="auto"/>
          <w:sz w:val="32"/>
          <w:szCs w:val="32"/>
          <w:highlight w:val="none"/>
        </w:rPr>
        <w:t>建强村党组织书记队伍，从在村工作的优秀党员中培养选拔村党组织书记；本地无合适人选的，从机关和企事业单位优秀国家公职人员中选派</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拓宽村“两委”班子成员来源渠道。</w:t>
      </w:r>
    </w:p>
    <w:p>
      <w:pPr>
        <w:pageBreakBefore w:val="0"/>
        <w:widowControl w:val="0"/>
        <w:kinsoku/>
        <w:wordWrap/>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b/>
          <w:bCs/>
          <w:color w:val="auto"/>
          <w:sz w:val="32"/>
          <w:szCs w:val="32"/>
          <w:highlight w:val="none"/>
          <w:lang w:val="en-US" w:eastAsia="zh-CN"/>
        </w:rPr>
        <w:t>在提高党员队伍素质上下功夫。</w:t>
      </w:r>
      <w:r>
        <w:rPr>
          <w:rFonts w:hint="default" w:ascii="Times New Roman" w:hAnsi="Times New Roman" w:eastAsia="方正仿宋_GBK" w:cs="Times New Roman"/>
          <w:color w:val="auto"/>
          <w:sz w:val="32"/>
          <w:szCs w:val="32"/>
          <w:highlight w:val="none"/>
        </w:rPr>
        <w:t>农村基层党员干部是推进乡村振兴战略的直接组织者和实施者，其能力素质直接关系到乡村振兴战略实施的结果。鼓励引导党员带头创办领办农民合作社、家庭农场等新型农业经营主体，县乡村党组织协调有关方面给予项目、资金、技术、信息等支持</w:t>
      </w:r>
      <w:r>
        <w:rPr>
          <w:rFonts w:hint="default" w:ascii="Times New Roman" w:hAnsi="Times New Roman" w:eastAsia="方正仿宋_GBK" w:cs="Times New Roman"/>
          <w:color w:val="auto"/>
          <w:sz w:val="32"/>
          <w:szCs w:val="32"/>
          <w:highlight w:val="none"/>
          <w:lang w:eastAsia="zh-CN"/>
        </w:rPr>
        <w:t>。外出党员相对集中的地方建立党组织，加强与流入地组织沟通联系，动员外出党员服务家乡发展或返乡创业。加大在青年农民特别是致富能手、农村外出务工经商人员中发展党员力度。</w:t>
      </w:r>
      <w:r>
        <w:rPr>
          <w:rFonts w:hint="default" w:ascii="Times New Roman" w:hAnsi="Times New Roman" w:eastAsia="方正仿宋_GBK" w:cs="Times New Roman"/>
          <w:color w:val="auto"/>
          <w:sz w:val="32"/>
          <w:szCs w:val="32"/>
          <w:highlight w:val="none"/>
        </w:rPr>
        <w:t>加强理想信念教育和党性修养，正确引导</w:t>
      </w:r>
      <w:r>
        <w:rPr>
          <w:rFonts w:hint="default" w:ascii="Times New Roman" w:hAnsi="Times New Roman" w:eastAsia="方正仿宋_GBK" w:cs="Times New Roman"/>
          <w:color w:val="auto"/>
          <w:sz w:val="32"/>
          <w:szCs w:val="32"/>
          <w:highlight w:val="none"/>
          <w:lang w:eastAsia="zh-CN"/>
        </w:rPr>
        <w:t>党员</w:t>
      </w:r>
      <w:r>
        <w:rPr>
          <w:rFonts w:hint="default" w:ascii="Times New Roman" w:hAnsi="Times New Roman" w:eastAsia="方正仿宋_GBK" w:cs="Times New Roman"/>
          <w:color w:val="auto"/>
          <w:sz w:val="32"/>
          <w:szCs w:val="32"/>
          <w:highlight w:val="none"/>
        </w:rPr>
        <w:t>理解、掌握和执行党的政策。</w:t>
      </w:r>
    </w:p>
    <w:p>
      <w:pPr>
        <w:pageBreakBefore w:val="0"/>
        <w:widowControl w:val="0"/>
        <w:kinsoku/>
        <w:wordWrap/>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b/>
          <w:bCs/>
          <w:color w:val="auto"/>
          <w:sz w:val="32"/>
          <w:szCs w:val="32"/>
          <w:highlight w:val="none"/>
          <w:lang w:eastAsia="zh-CN"/>
        </w:rPr>
        <w:t>在</w:t>
      </w:r>
      <w:r>
        <w:rPr>
          <w:rFonts w:hint="default" w:ascii="Times New Roman" w:hAnsi="Times New Roman" w:eastAsia="方正仿宋_GBK" w:cs="Times New Roman"/>
          <w:b/>
          <w:bCs/>
          <w:color w:val="auto"/>
          <w:sz w:val="32"/>
          <w:szCs w:val="32"/>
          <w:highlight w:val="none"/>
          <w:lang w:val="en-US" w:eastAsia="zh-CN"/>
        </w:rPr>
        <w:t>提升乡村治理能力水平上下功夫</w:t>
      </w:r>
      <w:r>
        <w:rPr>
          <w:rFonts w:hint="default" w:ascii="Times New Roman" w:hAnsi="Times New Roman" w:eastAsia="方正仿宋_GBK" w:cs="Times New Roman"/>
          <w:b/>
          <w:bCs/>
          <w:color w:val="auto"/>
          <w:sz w:val="32"/>
          <w:szCs w:val="32"/>
          <w:highlight w:val="none"/>
        </w:rPr>
        <w:t>。</w:t>
      </w:r>
      <w:r>
        <w:rPr>
          <w:rFonts w:hint="default" w:ascii="Times New Roman" w:hAnsi="Times New Roman" w:eastAsia="方正仿宋_GBK" w:cs="Times New Roman"/>
          <w:color w:val="auto"/>
          <w:sz w:val="32"/>
          <w:szCs w:val="32"/>
          <w:highlight w:val="none"/>
        </w:rPr>
        <w:t>健全乡镇党委统一指挥和统筹协调机制，用2至3年时间推动乡镇管理体制改革深化落实到位，按照“依法下放、宜放则放”原则赋予乡镇审批、服务、执法等权限，优化和综合设置乡镇机构</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村级重要事项、重大问题由村党组织研究讨论后按程序决定，全面落实“四议两公开”。推动上级投入支持的公共服务资源以乡镇党委和村党组织为主渠道落实，优化以乡镇、村党群服务中心为基本阵地的乡村综合服务设施布局，完善充实服务事项，实行“一站式服务”、“一门式办理”，实现群众有事就近办、马上办。推行网格化管理和服务，依托行政村统一划分综合网格，健全“行政村党支部（总支）—网格（村民小组）党小组（党支部）—党员联系户”的村党组织体系</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健全村民自治机制，完善</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村规民约</w:t>
      </w:r>
      <w:r>
        <w:rPr>
          <w:rFonts w:hint="default" w:ascii="Times New Roman" w:hAnsi="Times New Roman" w:eastAsia="方正仿宋_GBK" w:cs="Times New Roman"/>
          <w:color w:val="auto"/>
          <w:sz w:val="32"/>
          <w:szCs w:val="32"/>
          <w:highlight w:val="none"/>
          <w:lang w:eastAsia="zh-CN"/>
        </w:rPr>
        <w:t>”“居民公约”</w:t>
      </w:r>
      <w:r>
        <w:rPr>
          <w:rFonts w:hint="default" w:ascii="Times New Roman" w:hAnsi="Times New Roman" w:eastAsia="方正仿宋_GBK" w:cs="Times New Roman"/>
          <w:color w:val="auto"/>
          <w:sz w:val="32"/>
          <w:szCs w:val="32"/>
          <w:highlight w:val="none"/>
        </w:rPr>
        <w:t>，加强民主管理和协商，加强精神文明建设，培育和践行社会主义核心价值观，破除大操大办、铺张浪费等陈规陋习。充分发挥村务监督委员会作用，紧盯村务决策和公开、村级财产及扶贫资产管理、村级集体经济发展、工程项目建设、土地流转、惠农政策措施落实</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全面落实党务、村务、财务“三公开”和村干部经济责任审计等制度，规范村级会计委托代理制，推动村级事务在阳光下运行。推动农村基层党组织坚持和发展新时代“枫桥经验”，经常性排查化解矛盾纠纷，对一些苗头性倾向性问题早发现、早预防、早解决</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坚持“政治引领、法治保障、德治教化、自治强基、智治支撑”相结合，加强民主管理和协商，加强精神文明建设，深入开展中华民族共同体意识教育。</w:t>
      </w:r>
    </w:p>
    <w:p>
      <w:pPr>
        <w:pageBreakBefore w:val="0"/>
        <w:widowControl w:val="0"/>
        <w:kinsoku/>
        <w:wordWrap/>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color w:val="auto"/>
          <w:sz w:val="32"/>
          <w:szCs w:val="32"/>
          <w:highlight w:val="none"/>
          <w:lang w:eastAsia="zh-CN"/>
        </w:rPr>
        <w:t>第二节</w:t>
      </w:r>
      <w:r>
        <w:rPr>
          <w:rFonts w:hint="default" w:ascii="Times New Roman" w:hAnsi="Times New Roman" w:eastAsia="方正仿宋_GBK" w:cs="Times New Roman"/>
          <w:b/>
          <w:bCs/>
          <w:color w:val="auto"/>
          <w:sz w:val="32"/>
          <w:szCs w:val="32"/>
          <w:highlight w:val="none"/>
          <w:lang w:val="en-US" w:eastAsia="zh-CN"/>
        </w:rPr>
        <w:t xml:space="preserve"> </w:t>
      </w:r>
      <w:r>
        <w:rPr>
          <w:rFonts w:hint="default" w:ascii="Times New Roman" w:hAnsi="Times New Roman" w:eastAsia="方正仿宋_GBK" w:cs="Times New Roman"/>
          <w:b/>
          <w:bCs/>
          <w:sz w:val="32"/>
          <w:szCs w:val="32"/>
          <w:lang w:val="en-US" w:eastAsia="zh-CN"/>
        </w:rPr>
        <w:t>创新精神文明建设平台载体</w:t>
      </w:r>
    </w:p>
    <w:p>
      <w:pPr>
        <w:pageBreakBefore w:val="0"/>
        <w:widowControl w:val="0"/>
        <w:kinsoku/>
        <w:wordWrap/>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深化农村精神文明建设。持续开展“习近平新时代中国特色社会主义思想进万家”活动，引导各族群众“听党话、感党恩、跟党走”。加强爱国主义、集体主义、社会主义教育。按照“有场所、有队伍、有活动、有项目、有机制”“五有”要求，提升村级新时代文明实践站功能，充分发挥春风化雨、育德育人的作用。深入挖掘农耕文化优秀思想、人文精神、道德规划，充分发挥其凝聚人心、教化群众、淳化民风的重要作用。</w:t>
      </w:r>
    </w:p>
    <w:p>
      <w:pPr>
        <w:pageBreakBefore w:val="0"/>
        <w:widowControl w:val="0"/>
        <w:kinsoku/>
        <w:wordWrap/>
        <w:topLinePunct w:val="0"/>
        <w:autoSpaceDE/>
        <w:autoSpaceDN/>
        <w:bidi w:val="0"/>
        <w:spacing w:line="620" w:lineRule="exact"/>
        <w:ind w:left="0" w:leftChars="0" w:firstLine="640" w:firstLineChars="200"/>
        <w:jc w:val="both"/>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第</w:t>
      </w:r>
      <w:r>
        <w:rPr>
          <w:rFonts w:hint="eastAsia" w:ascii="Times New Roman" w:hAnsi="Times New Roman" w:eastAsia="方正仿宋_GBK" w:cs="Times New Roman"/>
          <w:b/>
          <w:bCs/>
          <w:sz w:val="32"/>
          <w:szCs w:val="32"/>
          <w:lang w:val="en-US" w:eastAsia="zh-CN"/>
        </w:rPr>
        <w:t>三</w:t>
      </w:r>
      <w:r>
        <w:rPr>
          <w:rFonts w:hint="default" w:ascii="Times New Roman" w:hAnsi="Times New Roman" w:eastAsia="方正仿宋_GBK" w:cs="Times New Roman"/>
          <w:b/>
          <w:bCs/>
          <w:sz w:val="32"/>
          <w:szCs w:val="32"/>
          <w:lang w:val="en-US" w:eastAsia="zh-CN"/>
        </w:rPr>
        <w:t>节</w:t>
      </w:r>
      <w:r>
        <w:rPr>
          <w:rFonts w:hint="default"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bCs/>
          <w:sz w:val="32"/>
          <w:szCs w:val="32"/>
          <w:lang w:val="en-US" w:eastAsia="zh-CN"/>
        </w:rPr>
        <w:t>推广积分制、清单制、数字化治理</w:t>
      </w:r>
    </w:p>
    <w:p>
      <w:pPr>
        <w:pageBreakBefore w:val="0"/>
        <w:widowControl w:val="0"/>
        <w:kinsoku/>
        <w:wordWrap/>
        <w:topLinePunct w:val="0"/>
        <w:autoSpaceDE/>
        <w:autoSpaceDN/>
        <w:bidi w:val="0"/>
        <w:spacing w:line="620" w:lineRule="exact"/>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大力推进积分制、清单制在乡村治理中的运用，2022年底前完成249个村、社区全面推行积分制、清单制工作。对积分、清单的内容、评价方式、运行程序、结果运用、监督检查等各个换届严格把关，充分体现党的主张、贯彻党的决定，加强组织统筹，强化工作调度，确保取得明显成效。</w:t>
      </w:r>
    </w:p>
    <w:p>
      <w:pPr>
        <w:pageBreakBefore w:val="0"/>
        <w:widowControl w:val="0"/>
        <w:kinsoku/>
        <w:wordWrap/>
        <w:topLinePunct w:val="0"/>
        <w:autoSpaceDE/>
        <w:autoSpaceDN/>
        <w:bidi w:val="0"/>
        <w:spacing w:line="620" w:lineRule="exact"/>
        <w:jc w:val="both"/>
        <w:textAlignment w:val="auto"/>
        <w:rPr>
          <w:rFonts w:hint="default" w:ascii="Times New Roman" w:hAnsi="Times New Roman" w:eastAsia="黑体" w:cs="Times New Roman"/>
          <w:b w:val="0"/>
          <w:bCs w:val="0"/>
          <w:sz w:val="36"/>
          <w:szCs w:val="36"/>
          <w:lang w:val="en-US" w:eastAsia="zh-CN"/>
        </w:rPr>
      </w:pPr>
    </w:p>
    <w:p>
      <w:pPr>
        <w:pageBreakBefore w:val="0"/>
        <w:widowControl w:val="0"/>
        <w:kinsoku/>
        <w:wordWrap/>
        <w:topLinePunct w:val="0"/>
        <w:autoSpaceDE/>
        <w:autoSpaceDN/>
        <w:bidi w:val="0"/>
        <w:spacing w:line="620" w:lineRule="exact"/>
        <w:jc w:val="both"/>
        <w:textAlignment w:val="auto"/>
        <w:rPr>
          <w:rFonts w:hint="default" w:ascii="Times New Roman" w:hAnsi="Times New Roman" w:eastAsia="方正仿宋_GBK" w:cs="Times New Roman"/>
          <w:sz w:val="32"/>
          <w:szCs w:val="32"/>
        </w:rPr>
      </w:pPr>
    </w:p>
    <w:p>
      <w:pPr>
        <w:pageBreakBefore w:val="0"/>
        <w:widowControl w:val="0"/>
        <w:kinsoku/>
        <w:wordWrap/>
        <w:topLinePunct w:val="0"/>
        <w:autoSpaceDE/>
        <w:autoSpaceDN/>
        <w:bidi w:val="0"/>
        <w:spacing w:line="620" w:lineRule="exact"/>
        <w:jc w:val="both"/>
        <w:textAlignment w:val="auto"/>
        <w:rPr>
          <w:rStyle w:val="15"/>
          <w:rFonts w:hint="default" w:ascii="Times New Roman" w:hAnsi="Times New Roman" w:eastAsia="方正仿宋_GBK" w:cs="Times New Roman"/>
          <w:color w:val="auto"/>
          <w:sz w:val="32"/>
          <w:szCs w:val="32"/>
        </w:rPr>
      </w:pPr>
      <w:bookmarkStart w:id="175" w:name="_Toc3272"/>
      <w:r>
        <w:rPr>
          <w:rStyle w:val="15"/>
          <w:rFonts w:hint="default" w:ascii="Times New Roman" w:hAnsi="Times New Roman" w:eastAsia="方正仿宋_GBK" w:cs="Times New Roman"/>
          <w:color w:val="auto"/>
          <w:sz w:val="32"/>
          <w:szCs w:val="32"/>
        </w:rPr>
        <w:br w:type="page"/>
      </w:r>
    </w:p>
    <w:p>
      <w:pPr>
        <w:pStyle w:val="2"/>
        <w:pageBreakBefore w:val="0"/>
        <w:widowControl w:val="0"/>
        <w:kinsoku/>
        <w:wordWrap/>
        <w:topLinePunct w:val="0"/>
        <w:autoSpaceDE/>
        <w:autoSpaceDN/>
        <w:bidi w:val="0"/>
        <w:spacing w:line="620" w:lineRule="exact"/>
        <w:textAlignment w:val="auto"/>
        <w:rPr>
          <w:rStyle w:val="15"/>
          <w:rFonts w:hint="default" w:ascii="Times New Roman" w:hAnsi="Times New Roman" w:eastAsia="黑体" w:cs="Times New Roman"/>
          <w:b/>
          <w:bCs/>
          <w:color w:val="auto"/>
          <w:szCs w:val="36"/>
        </w:rPr>
      </w:pPr>
      <w:bookmarkStart w:id="176" w:name="_Toc4945"/>
      <w:bookmarkStart w:id="177" w:name="_Toc6420"/>
      <w:r>
        <w:rPr>
          <w:rStyle w:val="15"/>
          <w:rFonts w:hint="default" w:ascii="Times New Roman" w:hAnsi="Times New Roman" w:eastAsia="黑体" w:cs="Times New Roman"/>
          <w:b/>
          <w:bCs/>
          <w:color w:val="auto"/>
          <w:szCs w:val="36"/>
        </w:rPr>
        <w:t>第五篇  组织领导 建立健全规划实施的保障措施</w:t>
      </w:r>
      <w:bookmarkEnd w:id="175"/>
      <w:bookmarkEnd w:id="176"/>
      <w:bookmarkEnd w:id="177"/>
    </w:p>
    <w:p>
      <w:pPr>
        <w:pageBreakBefore w:val="0"/>
        <w:widowControl w:val="0"/>
        <w:kinsoku/>
        <w:wordWrap/>
        <w:topLinePunct w:val="0"/>
        <w:autoSpaceDE/>
        <w:autoSpaceDN/>
        <w:bidi w:val="0"/>
        <w:spacing w:line="620" w:lineRule="exact"/>
        <w:jc w:val="center"/>
        <w:textAlignment w:val="auto"/>
        <w:rPr>
          <w:rStyle w:val="15"/>
          <w:rFonts w:hint="default" w:ascii="Times New Roman" w:hAnsi="Times New Roman" w:eastAsia="黑体" w:cs="Times New Roman"/>
          <w:b/>
          <w:bCs/>
          <w:color w:val="auto"/>
          <w:sz w:val="36"/>
          <w:szCs w:val="36"/>
        </w:rPr>
      </w:pP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加强党对规划实施的领导，完善党领导</w:t>
      </w:r>
      <w:r>
        <w:rPr>
          <w:rFonts w:hint="default" w:ascii="Times New Roman" w:hAnsi="Times New Roman" w:eastAsia="方正仿宋_GBK" w:cs="Times New Roman"/>
          <w:sz w:val="32"/>
          <w:szCs w:val="32"/>
          <w:lang w:val="zh-CN"/>
        </w:rPr>
        <w:t>“三农”</w:t>
      </w:r>
      <w:r>
        <w:rPr>
          <w:rFonts w:hint="default" w:ascii="Times New Roman" w:hAnsi="Times New Roman" w:eastAsia="方正仿宋_GBK" w:cs="Times New Roman"/>
          <w:kern w:val="0"/>
          <w:sz w:val="32"/>
          <w:szCs w:val="32"/>
        </w:rPr>
        <w:t>工作体制机制，推动规划顺利实施。落实工作责任，加强协调配合，合理配置公共资源，建立健全规划实施机制，形成工作合力，为规划目标和任务顺利实施提供有力保障。</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kern w:val="0"/>
          <w:sz w:val="32"/>
          <w:szCs w:val="32"/>
        </w:rPr>
      </w:pPr>
    </w:p>
    <w:p>
      <w:pPr>
        <w:pStyle w:val="3"/>
        <w:pageBreakBefore w:val="0"/>
        <w:widowControl w:val="0"/>
        <w:kinsoku/>
        <w:wordWrap/>
        <w:topLinePunct w:val="0"/>
        <w:autoSpaceDE/>
        <w:autoSpaceDN/>
        <w:bidi w:val="0"/>
        <w:spacing w:line="620" w:lineRule="exact"/>
        <w:textAlignment w:val="auto"/>
        <w:rPr>
          <w:rFonts w:hint="default" w:ascii="Times New Roman" w:hAnsi="Times New Roman" w:cs="Times New Roman"/>
        </w:rPr>
      </w:pPr>
      <w:bookmarkStart w:id="178" w:name="_Toc459580825"/>
      <w:bookmarkStart w:id="179" w:name="_Toc6932"/>
      <w:bookmarkStart w:id="180" w:name="_Toc5314"/>
      <w:bookmarkStart w:id="181" w:name="_Toc22477"/>
      <w:r>
        <w:rPr>
          <w:rFonts w:hint="default" w:ascii="Times New Roman" w:hAnsi="Times New Roman" w:cs="Times New Roman"/>
        </w:rPr>
        <w:t>第一章 加强党对规划实施的领导</w:t>
      </w:r>
      <w:bookmarkEnd w:id="178"/>
      <w:bookmarkEnd w:id="179"/>
      <w:bookmarkEnd w:id="180"/>
      <w:bookmarkEnd w:id="181"/>
    </w:p>
    <w:p>
      <w:pPr>
        <w:pageBreakBefore w:val="0"/>
        <w:widowControl w:val="0"/>
        <w:kinsoku/>
        <w:wordWrap/>
        <w:topLinePunct w:val="0"/>
        <w:autoSpaceDE/>
        <w:autoSpaceDN/>
        <w:bidi w:val="0"/>
        <w:spacing w:line="620" w:lineRule="exact"/>
        <w:jc w:val="center"/>
        <w:textAlignment w:val="auto"/>
        <w:rPr>
          <w:rFonts w:hint="default" w:ascii="Times New Roman" w:hAnsi="Times New Roman" w:eastAsia="黑体" w:cs="Times New Roman"/>
          <w:sz w:val="36"/>
          <w:szCs w:val="36"/>
        </w:rPr>
      </w:pP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发展是党执政兴国的第一要务。各级党组织必须深化对发展规律的认识，提高领导发展能力和水平，推进治理体系和治理能力</w:t>
      </w:r>
      <w:r>
        <w:rPr>
          <w:rFonts w:hint="default" w:ascii="Times New Roman" w:hAnsi="Times New Roman" w:eastAsia="方正仿宋_GBK" w:cs="Times New Roman"/>
          <w:kern w:val="0"/>
          <w:sz w:val="32"/>
          <w:szCs w:val="32"/>
          <w:lang w:eastAsia="zh-CN"/>
        </w:rPr>
        <w:t>现代化</w:t>
      </w:r>
      <w:r>
        <w:rPr>
          <w:rFonts w:hint="default" w:ascii="Times New Roman" w:hAnsi="Times New Roman" w:eastAsia="方正仿宋_GBK" w:cs="Times New Roman"/>
          <w:kern w:val="0"/>
          <w:sz w:val="32"/>
          <w:szCs w:val="32"/>
        </w:rPr>
        <w:t>，更好推动经济社会发展。坚持党总揽全局、协调各方，发挥党委（党组）领导的核心作用，加强制度化建设，改进工作体制机制和方式方法，不断强化全委会决策监督作用，提高决策科学化水平，完善党委（党组）研究经济社会发展战略、定期分析经济形势、研究重大方针政策的工作机制，健全决策咨询机制，完善信息发布制度。加强基层党组织建设、提高基层治理能力，为规划实施提供坚强政治和组织保证。</w:t>
      </w:r>
    </w:p>
    <w:p>
      <w:pPr>
        <w:pStyle w:val="3"/>
        <w:pageBreakBefore w:val="0"/>
        <w:widowControl w:val="0"/>
        <w:kinsoku/>
        <w:wordWrap/>
        <w:topLinePunct w:val="0"/>
        <w:autoSpaceDE/>
        <w:autoSpaceDN/>
        <w:bidi w:val="0"/>
        <w:spacing w:line="620" w:lineRule="exact"/>
        <w:textAlignment w:val="auto"/>
        <w:rPr>
          <w:rFonts w:hint="default" w:ascii="Times New Roman" w:hAnsi="Times New Roman" w:cs="Times New Roman"/>
        </w:rPr>
      </w:pPr>
      <w:bookmarkStart w:id="182" w:name="_Toc14258"/>
      <w:bookmarkStart w:id="183" w:name="_Toc8383"/>
      <w:bookmarkStart w:id="184" w:name="_Toc10461"/>
      <w:bookmarkStart w:id="185" w:name="_Toc438565429"/>
      <w:bookmarkStart w:id="186" w:name="_Toc19241"/>
      <w:r>
        <w:rPr>
          <w:rFonts w:hint="default" w:ascii="Times New Roman" w:hAnsi="Times New Roman" w:cs="Times New Roman"/>
        </w:rPr>
        <w:t>第二章 加强统筹协调</w:t>
      </w:r>
      <w:bookmarkEnd w:id="182"/>
      <w:bookmarkEnd w:id="183"/>
      <w:bookmarkEnd w:id="184"/>
      <w:bookmarkEnd w:id="185"/>
      <w:bookmarkEnd w:id="186"/>
    </w:p>
    <w:p>
      <w:pPr>
        <w:pageBreakBefore w:val="0"/>
        <w:widowControl w:val="0"/>
        <w:kinsoku/>
        <w:wordWrap/>
        <w:topLinePunct w:val="0"/>
        <w:autoSpaceDE/>
        <w:autoSpaceDN/>
        <w:bidi w:val="0"/>
        <w:spacing w:line="620" w:lineRule="exact"/>
        <w:jc w:val="center"/>
        <w:textAlignment w:val="auto"/>
        <w:rPr>
          <w:rFonts w:hint="default" w:ascii="Times New Roman" w:hAnsi="Times New Roman" w:eastAsia="黑体" w:cs="Times New Roman"/>
          <w:sz w:val="36"/>
          <w:szCs w:val="36"/>
        </w:rPr>
      </w:pP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kern w:val="0"/>
          <w:sz w:val="32"/>
          <w:szCs w:val="32"/>
        </w:rPr>
      </w:pPr>
      <w:bookmarkStart w:id="187" w:name="_Toc412715403"/>
      <w:bookmarkStart w:id="188" w:name="_Toc421554625"/>
      <w:bookmarkStart w:id="189" w:name="_Toc412631008"/>
      <w:bookmarkStart w:id="190" w:name="_Toc22613"/>
      <w:r>
        <w:rPr>
          <w:rFonts w:hint="default" w:ascii="Times New Roman" w:hAnsi="Times New Roman" w:eastAsia="方正仿宋_GBK" w:cs="Times New Roman"/>
          <w:kern w:val="0"/>
          <w:sz w:val="32"/>
          <w:szCs w:val="32"/>
        </w:rPr>
        <w:t>按照本规划确定的总体要求、发展目标、发展重点及重大项目布局，各部门、各行业要组织编制相应的专项规划，有针对性地提出具体目标和任务，以及可操作的实施措施。建立本规划与专项规划相互协调的工作机制，在主体功能定位、重大生产力布局、重点项目安排、基础设施建设上，确保总体要求一致，空间配置和时序安排科学合理，形成以本规划为统领，各级各类规划定位清晰、功能互补、统一衔接的规划体系。加强本规划与年度计划的衔接，在制定和实施本县经济社会发展年度计划时，要结合实际，按年度分解和落实规划纲要提出的目标和任务。各有关部门要针对所担负的中长期发展任务，制定年度具体措施，切实组织落实。</w:t>
      </w:r>
      <w:bookmarkEnd w:id="187"/>
      <w:bookmarkEnd w:id="188"/>
      <w:bookmarkEnd w:id="189"/>
      <w:bookmarkEnd w:id="190"/>
      <w:bookmarkStart w:id="191" w:name="_Toc25974"/>
      <w:bookmarkStart w:id="192" w:name="_Toc459580829"/>
      <w:bookmarkStart w:id="193" w:name="_Toc14059"/>
      <w:bookmarkStart w:id="194" w:name="_Toc12757"/>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kern w:val="0"/>
          <w:sz w:val="32"/>
          <w:szCs w:val="32"/>
        </w:rPr>
      </w:pPr>
    </w:p>
    <w:p>
      <w:pPr>
        <w:pStyle w:val="3"/>
        <w:pageBreakBefore w:val="0"/>
        <w:widowControl w:val="0"/>
        <w:kinsoku/>
        <w:wordWrap/>
        <w:topLinePunct w:val="0"/>
        <w:autoSpaceDE/>
        <w:autoSpaceDN/>
        <w:bidi w:val="0"/>
        <w:spacing w:line="620" w:lineRule="exact"/>
        <w:textAlignment w:val="auto"/>
        <w:rPr>
          <w:rFonts w:hint="default" w:ascii="Times New Roman" w:hAnsi="Times New Roman" w:cs="Times New Roman"/>
        </w:rPr>
      </w:pPr>
      <w:bookmarkStart w:id="195" w:name="_Toc29548"/>
      <w:r>
        <w:rPr>
          <w:rFonts w:hint="default" w:ascii="Times New Roman" w:hAnsi="Times New Roman" w:cs="Times New Roman"/>
        </w:rPr>
        <w:t>第三章 做好监督评估</w:t>
      </w:r>
      <w:bookmarkEnd w:id="191"/>
      <w:bookmarkEnd w:id="192"/>
      <w:bookmarkEnd w:id="193"/>
      <w:bookmarkEnd w:id="194"/>
      <w:bookmarkEnd w:id="195"/>
    </w:p>
    <w:p>
      <w:pPr>
        <w:pageBreakBefore w:val="0"/>
        <w:widowControl w:val="0"/>
        <w:kinsoku/>
        <w:wordWrap/>
        <w:topLinePunct w:val="0"/>
        <w:autoSpaceDE/>
        <w:autoSpaceDN/>
        <w:bidi w:val="0"/>
        <w:spacing w:line="620" w:lineRule="exact"/>
        <w:jc w:val="center"/>
        <w:textAlignment w:val="auto"/>
        <w:rPr>
          <w:rFonts w:hint="default" w:ascii="Times New Roman" w:hAnsi="Times New Roman" w:eastAsia="黑体" w:cs="Times New Roman"/>
          <w:sz w:val="36"/>
          <w:szCs w:val="36"/>
        </w:rPr>
      </w:pPr>
    </w:p>
    <w:p>
      <w:pPr>
        <w:pageBreakBefore w:val="0"/>
        <w:widowControl w:val="0"/>
        <w:kinsoku/>
        <w:wordWrap/>
        <w:topLinePunct w:val="0"/>
        <w:autoSpaceDE/>
        <w:autoSpaceDN/>
        <w:bidi w:val="0"/>
        <w:spacing w:line="620" w:lineRule="exact"/>
        <w:ind w:firstLine="480" w:firstLineChars="15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建立和完善规划评估、监督和调整机制。政府有关部门要加强对本规划实施情况的跟踪分析和监测，接受人大代表及政协委员对规划实施情况的监督检查。对规划执行中出现的新情况、新问题，要及时采取相应对策措施，提出调整和修订规划的意见。</w:t>
      </w:r>
    </w:p>
    <w:p>
      <w:pPr>
        <w:pageBreakBefore w:val="0"/>
        <w:widowControl w:val="0"/>
        <w:kinsoku/>
        <w:wordWrap/>
        <w:topLinePunct w:val="0"/>
        <w:autoSpaceDE/>
        <w:autoSpaceDN/>
        <w:bidi w:val="0"/>
        <w:spacing w:line="62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实施规划中期评估。围绕规划提出的主要目标、重点任务和政策措施，组织开展规划实施中期评估，全面分析检查规划实施效果及各项政策措施落实情况，推动规划有效实施，并为调整和修订规划提供依据。</w:t>
      </w:r>
    </w:p>
    <w:p>
      <w:pPr>
        <w:pageBreakBefore w:val="0"/>
        <w:widowControl w:val="0"/>
        <w:kinsoku/>
        <w:wordWrap/>
        <w:topLinePunct w:val="0"/>
        <w:autoSpaceDE/>
        <w:autoSpaceDN/>
        <w:bidi w:val="0"/>
        <w:spacing w:line="620" w:lineRule="exact"/>
        <w:jc w:val="both"/>
        <w:textAlignment w:val="auto"/>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kern w:val="0"/>
          <w:sz w:val="32"/>
          <w:szCs w:val="32"/>
        </w:rPr>
        <w:t xml:space="preserve">    扩大公众参与。做好规划及相关信息的公开工作，面向社会，面向广大市民广泛宣传规划，不断提高公众规划意识，让更多的社会公众通过法定程序和渠道参与规划的实施和监督，在全社会形成共同参与规划实施和依规划办事的良好环境。</w:t>
      </w:r>
    </w:p>
    <w:p>
      <w:pPr>
        <w:pageBreakBefore w:val="0"/>
        <w:widowControl w:val="0"/>
        <w:kinsoku/>
        <w:wordWrap/>
        <w:topLinePunct w:val="0"/>
        <w:autoSpaceDE/>
        <w:autoSpaceDN/>
        <w:bidi w:val="0"/>
        <w:spacing w:line="620" w:lineRule="exact"/>
        <w:textAlignment w:val="auto"/>
        <w:rPr>
          <w:rFonts w:hint="default" w:ascii="Times New Roman" w:hAnsi="Times New Roman" w:cs="Times New Roman"/>
        </w:rPr>
      </w:pPr>
    </w:p>
    <w:sectPr>
      <w:footerReference r:id="rId4" w:type="default"/>
      <w:pgSz w:w="11906" w:h="16838"/>
      <w:pgMar w:top="2098" w:right="1531" w:bottom="1984"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iOTk0YjJlYTAxNGI2M2U2YTFhMWUwNDVjNzRjODQifQ=="/>
  </w:docVars>
  <w:rsids>
    <w:rsidRoot w:val="454A011E"/>
    <w:rsid w:val="00FD007C"/>
    <w:rsid w:val="038E6C2F"/>
    <w:rsid w:val="1B05598E"/>
    <w:rsid w:val="1B7C72DB"/>
    <w:rsid w:val="21B52E68"/>
    <w:rsid w:val="29EB1A1B"/>
    <w:rsid w:val="33C63562"/>
    <w:rsid w:val="343529E2"/>
    <w:rsid w:val="3BDD00D3"/>
    <w:rsid w:val="3CD90A8C"/>
    <w:rsid w:val="454A011E"/>
    <w:rsid w:val="490F7B77"/>
    <w:rsid w:val="4E2747BE"/>
    <w:rsid w:val="553173A9"/>
    <w:rsid w:val="56A676A8"/>
    <w:rsid w:val="58D374CF"/>
    <w:rsid w:val="62F45793"/>
    <w:rsid w:val="65F610DD"/>
    <w:rsid w:val="71072532"/>
    <w:rsid w:val="77306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77"/>
      <w:ind w:left="40"/>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b/>
      <w:bCs/>
      <w:kern w:val="44"/>
      <w:sz w:val="36"/>
      <w:szCs w:val="44"/>
    </w:rPr>
  </w:style>
  <w:style w:type="paragraph" w:styleId="3">
    <w:name w:val="heading 2"/>
    <w:basedOn w:val="1"/>
    <w:next w:val="1"/>
    <w:unhideWhenUsed/>
    <w:qFormat/>
    <w:uiPriority w:val="0"/>
    <w:pPr>
      <w:keepNext/>
      <w:keepLines/>
      <w:spacing w:before="260" w:after="260" w:line="416" w:lineRule="auto"/>
      <w:jc w:val="center"/>
      <w:outlineLvl w:val="1"/>
    </w:pPr>
    <w:rPr>
      <w:rFonts w:ascii="Cambria" w:hAnsi="Cambria" w:eastAsia="黑体"/>
      <w:bCs/>
      <w:sz w:val="32"/>
      <w:szCs w:val="32"/>
    </w:rPr>
  </w:style>
  <w:style w:type="paragraph" w:styleId="4">
    <w:name w:val="heading 3"/>
    <w:basedOn w:val="1"/>
    <w:next w:val="1"/>
    <w:unhideWhenUsed/>
    <w:qFormat/>
    <w:uiPriority w:val="9"/>
    <w:pPr>
      <w:keepNext/>
      <w:keepLines/>
      <w:spacing w:line="520" w:lineRule="exact"/>
      <w:ind w:firstLine="602" w:firstLineChars="200"/>
      <w:outlineLvl w:val="2"/>
    </w:pPr>
    <w:rPr>
      <w:rFonts w:eastAsia="黑体"/>
      <w:bCs/>
      <w:sz w:val="30"/>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1"/>
    <w:rPr>
      <w:rFonts w:ascii="宋体" w:hAnsi="宋体"/>
      <w:sz w:val="27"/>
      <w:szCs w:val="27"/>
    </w:rPr>
  </w:style>
  <w:style w:type="paragraph" w:styleId="6">
    <w:name w:val="Body Text First Indent"/>
    <w:basedOn w:val="5"/>
    <w:qFormat/>
    <w:uiPriority w:val="0"/>
  </w:style>
  <w:style w:type="paragraph" w:styleId="7">
    <w:name w:val="Body Text Indent"/>
    <w:basedOn w:val="1"/>
    <w:next w:val="5"/>
    <w:qFormat/>
    <w:uiPriority w:val="99"/>
    <w:pPr>
      <w:spacing w:after="120"/>
      <w:ind w:left="420" w:leftChars="200"/>
    </w:pPr>
    <w:rPr>
      <w:rFonts w:ascii="Times New Roman" w:hAnsi="Times New Roman" w:cs="等线"/>
      <w:szCs w:val="21"/>
    </w:rPr>
  </w:style>
  <w:style w:type="paragraph" w:styleId="8">
    <w:name w:val="Plain Text"/>
    <w:basedOn w:val="1"/>
    <w:qFormat/>
    <w:uiPriority w:val="0"/>
    <w:rPr>
      <w:rFonts w:ascii="宋体" w:hAnsi="Courier New"/>
    </w:rPr>
  </w:style>
  <w:style w:type="paragraph" w:styleId="9">
    <w:name w:val="footer"/>
    <w:basedOn w:val="1"/>
    <w:qFormat/>
    <w:uiPriority w:val="99"/>
    <w:pPr>
      <w:tabs>
        <w:tab w:val="center" w:pos="4153"/>
        <w:tab w:val="right" w:pos="8306"/>
      </w:tabs>
      <w:snapToGrid w:val="0"/>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character" w:styleId="15">
    <w:name w:val="Hyperlink"/>
    <w:basedOn w:val="14"/>
    <w:qFormat/>
    <w:uiPriority w:val="0"/>
    <w:rPr>
      <w:color w:val="0000FF"/>
      <w:u w:val="none"/>
    </w:rPr>
  </w:style>
  <w:style w:type="paragraph" w:customStyle="1" w:styleId="16">
    <w:name w:val="WPSOffice手动目录 1"/>
    <w:qFormat/>
    <w:uiPriority w:val="0"/>
    <w:rPr>
      <w:rFonts w:ascii="Calibri" w:hAnsi="Calibri" w:eastAsia="宋体" w:cs="Times New Roman"/>
      <w:lang w:val="en-US" w:eastAsia="zh-CN" w:bidi="ar-SA"/>
    </w:rPr>
  </w:style>
  <w:style w:type="paragraph" w:customStyle="1" w:styleId="1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8">
    <w:name w:val="样式1"/>
    <w:basedOn w:val="1"/>
    <w:qFormat/>
    <w:uiPriority w:val="0"/>
    <w:pPr>
      <w:ind w:firstLine="560" w:firstLineChars="200"/>
    </w:pPr>
    <w:rPr>
      <w:rFonts w:ascii="仿宋" w:hAnsi="仿宋" w:eastAsia="仿宋" w:cs="仿宋"/>
      <w:sz w:val="28"/>
      <w:szCs w:val="28"/>
    </w:rPr>
  </w:style>
  <w:style w:type="character" w:customStyle="1" w:styleId="19">
    <w:name w:val="标题 1 Char"/>
    <w:link w:val="2"/>
    <w:qFormat/>
    <w:uiPriority w:val="0"/>
    <w:rPr>
      <w:rFonts w:eastAsia="黑体"/>
      <w:b/>
      <w:bCs/>
      <w:kern w:val="44"/>
      <w:sz w:val="36"/>
      <w:szCs w:val="44"/>
    </w:rPr>
  </w:style>
  <w:style w:type="paragraph" w:customStyle="1" w:styleId="20">
    <w:name w:val="标题 Char Char"/>
    <w:basedOn w:val="1"/>
    <w:qFormat/>
    <w:uiPriority w:val="99"/>
    <w:pPr>
      <w:jc w:val="center"/>
      <w:outlineLvl w:val="0"/>
    </w:pPr>
    <w:rPr>
      <w:rFonts w:ascii="Arial" w:hAnsi="Arial"/>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27693</Words>
  <Characters>28130</Characters>
  <Lines>0</Lines>
  <Paragraphs>0</Paragraphs>
  <TotalTime>194</TotalTime>
  <ScaleCrop>false</ScaleCrop>
  <LinksUpToDate>false</LinksUpToDate>
  <CharactersWithSpaces>28366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2022-08-21T16:52:00Z</dcterms:created>
  <dc:creator>eleven</dc:creator>
  <cp:lastModifiedBy>ablimit</cp:lastModifiedBy>
  <dcterms:modified xsi:type="dcterms:W3CDTF">2023-10-30T09:35:30Z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D88ADB21DD84467DA9DFF1B6F34D67C7_13</vt:lpwstr>
  </property>
</Properties>
</file>