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疏勒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县末级渠系维护费征收和使用管理办法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征求意见稿）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35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为了进一步规范末级渠系维护费的征收和使用管理工作，根据《新疆维吾尔自治区农业水价综合改革实施方案》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新政发〔2017〕29号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）《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关于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加强我区农业末级渠系维护费监督管理工作的意见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新发改农价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783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关于加强末级渠系水费管理使用的通知》及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《关于调整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疏勒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县农业灌溉用水价格的通知》等文件精神，结合我县实际，特制定本办法。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本办法所称末级渠系是指本行政区域内灌区斗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（含斗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）以下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，交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由农民用水协会（以下简称用水协会）管理的斗渠及以下供水渠道和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田间水利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工程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斗、农、毛渠及其建筑物配套设施；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2.管灌、滴灌、微喷灌等高效节水灌溉工程设施；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</w:rPr>
        <w:t>高标准农田设施的蓄水设施、管道工程和水肥一体化设备等；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4.抗旱机电井、泵站、供水计量设施等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第三条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末级渠系维护费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是指斗渠（含斗渠）以下末级水利工程管理、维修和养护的费用，包含农民用水协会末级渠系管理费用、配水员劳务费用和末级渠系工程维护费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用等构成。其中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日常管理经费包含用水协会办公经费、管理人员工资、供水配水人员误工补助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及其他人员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费用等。末级渠系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维修养护包括末级渠系（含清淤、清冰）及其配套建筑物、高效节水灌溉工程、高标准农田设施、抗旱机电井、计量设施等设施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维修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改造等。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 xml:space="preserve">条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末级渠系维护费实行按方收费，根据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用水协会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实际取水量和末级渠系水价进行核算。地表水以斗口供水量为计量点，地下水以机井水表为计量点。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末级渠系维护费的水价实行政府指导价。依据《关于调整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疏勒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县农业灌溉用水价格的通知》，末级渠系维护费为0.02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元/立方米。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若价格发生调整变化的，以县人民政府批准的价格为准。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末级渠系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供水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计量设施实行统一管理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。乡（镇）水管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会同所在地用水协会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做好计量设施统计及其灌溉面积覆盖范围台账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。用水协会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权属职责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做好灌区量水、测水设施维护维修与运行管理工作，确保计量设施正常使用，量测数据真实有效、准确可靠。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在全县用水总量控制指标范围内，实行总量控制、定额管理用水制度。县水管总站要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将用水总量逐级细化分解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，科学合理制定配水计划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做到按计划供水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用水协会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应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大力推广管灌、滴灌等节水灌溉方式和水肥一体化等农业节水技术，实现设施节水、技术节水与管理节水的有机协同，同时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根据配水计划，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合理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组织灌溉用水。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水管单位向灌区供水计量点设在斗渠进口，以此作为用水协会供水的水量。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用水协会应与乡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水管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签订年度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农业灌溉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供水合同，建立水量台账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指定专人会同乡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水管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人员做好灌溉水量计量和水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结算工作。每轮次灌水结束后，应及时与乡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）水管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办理水量结算手续，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以终端量水设施计量的水量作为末级渠系维护费征收结算的依据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末级渠系维护费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征收必须坚持“公开、公平、公正”的原则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做到末级渠系维护费水价标准公开、农户用水量公开、农户水费总额公开，即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应及时在所在地村委会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或水管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公布用水户的灌水面积、水量、水价、末级渠系维护费等信息，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自觉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接受监督。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每年灌溉结束后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用水协会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应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根据斗口实际用水量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编制用水户末级渠系维护费收费明细表，经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所在地的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用水户、村委会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（镇）的用水协会和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水管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（镇）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人民政府签字（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盖章）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确认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后，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汇总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上报县级用水协会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县水管总站审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核，经县人民政府批准同意后征收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末级渠系维护费与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农业灌溉水费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按年度一次性同步征收。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第十条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规范末级渠系维护费的收取、使用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确保末级渠系管理、维修、改造正常运行。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用水协会应加强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末级渠系维护费的征收，各用水户（含国有单位、企业、个体户、农户，不含自备水源用水户）应及时交纳末级渠系维护费，各乡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要适时督促用水户缴纳末级渠系维护费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收取的末级渠系维护费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应当按照规定使用自治区税务部门统一印制的水费专用发票，用水协会同时附加水费结算单据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，严禁在末级渠系维护费以外加收任何名目的费用或搭车收费。对无票据或不出具票据向用水户征收或搭车征收的，一律视为乱收费，用水户有权拒缴或进行投诉。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末级渠系维护费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的使用，应坚持“一事一议”制度，做到公开、透明，由会员（村民）代表大会审议表决后支出，按年度将收支情况向会员进行公示。各项收支应做到手续完备，凭证齐全。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末级渠系维护费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预算计划每年年初应经过用水户集体商议、民主决策，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并经公示无异议后上报乡（镇）人民政府、县级用水协会及县水管总站备案。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第十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加强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末级渠系维护费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的收支管理，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末级渠系维护费实行专户储存、专款专用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专项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用于末级渠系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维修养护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改造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日常管理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末级渠系维护费用于末级渠系维修养护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改造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的支出不应小于60%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日常管理经费开支不应超过40%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且任何单位和个人不得截留、挪用或者挤占。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第十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条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对财务尚不健全、不具备独立核算条件的用水协会，末级渠系维护费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的财务管理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可暂时由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上一级灌区水管单位代管，并单独核算科目，专款专用，实行“协会水费、水管代管、协会专用”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，县水利部门应做好资金监管工作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办公经费审批流程：经用水协会集体商议，民主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决策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，并提出书面用款计划申请，说明资金使用数额及用途，并附具有关明细表，经县级用水协会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县水管总站审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核确认、县水利局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审批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同意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，按照资金审批流程相关规定拨付资金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人员工资、误工补助审批流程：协会人员数量、人员工资和误工补助等具体标准由县级用水协会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按照成本核算进行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核定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发放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，但人员工资、误工补助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等费用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总额不得高于末级渠系维护费收入的40%。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末级渠系维修养护审批流程：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用水协会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提出对农业末级渠系进行维修养护、改造更新计划时，必须按“一事一议”的原则在所在地召开用水户会员代表大会，经民主表决通过后，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用水协会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递交实施方案计划、维修更新改造工程预算、会议审议决定、和书面用款申请等材料上报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所在地村委会、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县级用水协会审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乡（镇）人民政府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、县水管总站审批，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并上报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县水利局备案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具体事项由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所在地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用水协会按照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项目工程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有关规定组织实施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，工程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完工后，应及时成立由用水户代表、村委会、乡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水管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县级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用水协会、县水利工程质量监测站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、乡（镇）人民政府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人员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组成的验收小组进行验收，工程验收合格后，签订《工程验收鉴定书》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每次维修养护完成后，及时向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所在地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用水户公布维修养护费收支情况，接受群众监督。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用水协会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当年收取的末级渠系维护费除正常费用开支外，结余部分可结转下年使用，但不得私自挪作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用和额外增加补贴支出。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末级渠系水费的使用严格落实《中华人民共和国预算法》，每年底编报当年财务决算和第二年财务预算方案，并经县水利部门审核审批后严格执行，同时县水利部门要加强对财务预算执行情况进行经常性监督、检查，发现问题，及时督促整改，对违反相关规定造成经济损失的，要严肃追究经济责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 xml:space="preserve">第十六条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末级渠系维护费的管理和使用要接受群众监督。建立公示制度，定期对末级渠系水费的管理和使用情况进行公示，公示期不少于7条。同时聘请第三方单位第二年年初对用水协会过去1年的财务和决算进行审计，出局审计报告，并向县水利部门进行报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县发改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水利部门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按照国家有关法律、法规、政策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规定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，加强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指导灌区末级渠系管理，保障用水户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合法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用水权益，指导监督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用水协会的运营管理和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末级渠系维护费的计收、使用、票据管理等工作。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十八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度供水期结束后，发改、财政、审计、水利等行政主管部门，对用水协会的运行管理和财务收支账目及进行检查，并将检查结果在灌区内公布。对检查处的问题，要限期进行整改，并将整改情况及时反馈会员（村民）代表；对存在严重问题的，建议会员（村民）代表大会按程序罢免相关责任人员，进行重新选举；情节严重的移交司法部门处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pacing w:val="-11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十九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highlight w:val="none"/>
        </w:rPr>
        <w:t>本办法由县水利局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highlight w:val="none"/>
          <w:lang w:val="en-US" w:eastAsia="zh-CN"/>
        </w:rPr>
        <w:t>和县农民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highlight w:val="none"/>
        </w:rPr>
        <w:t>用水协会共同负责解释。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第二十条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本办法自发布之日起实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pStyle w:val="4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N2M1NDBlYTdlN2RlZDFmNjY5Y2EzNjFmNjIzNDEifQ=="/>
  </w:docVars>
  <w:rsids>
    <w:rsidRoot w:val="00000000"/>
    <w:rsid w:val="02CB13F9"/>
    <w:rsid w:val="04F55AC9"/>
    <w:rsid w:val="0777244E"/>
    <w:rsid w:val="143C2BBD"/>
    <w:rsid w:val="1A2F6DE7"/>
    <w:rsid w:val="1AD94206"/>
    <w:rsid w:val="273B094A"/>
    <w:rsid w:val="294F4B81"/>
    <w:rsid w:val="30F57DBC"/>
    <w:rsid w:val="32807B59"/>
    <w:rsid w:val="32A87CB0"/>
    <w:rsid w:val="37FC5ED4"/>
    <w:rsid w:val="393B0C7E"/>
    <w:rsid w:val="3E2E0DB1"/>
    <w:rsid w:val="44670B79"/>
    <w:rsid w:val="454035D2"/>
    <w:rsid w:val="4E633BEC"/>
    <w:rsid w:val="58B242BD"/>
    <w:rsid w:val="5D1642BC"/>
    <w:rsid w:val="5EDB2650"/>
    <w:rsid w:val="62216165"/>
    <w:rsid w:val="65744A4C"/>
    <w:rsid w:val="6D9143ED"/>
    <w:rsid w:val="730C4F57"/>
    <w:rsid w:val="799D236B"/>
    <w:rsid w:val="7B7B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小标宋简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hint="eastAsia" w:ascii="仿宋" w:hAnsi="仿宋" w:eastAsia="仿宋" w:cs="仿宋"/>
      <w:color w:val="FF000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7">
    <w:name w:val="72c23eac-05e5-485a-9b67-1c7dbe1944ac"/>
    <w:basedOn w:val="3"/>
    <w:qFormat/>
    <w:uiPriority w:val="0"/>
    <w:pPr>
      <w:adjustRightInd w:val="0"/>
      <w:snapToGrid w:val="0"/>
      <w:spacing w:line="620" w:lineRule="exact"/>
      <w:ind w:firstLine="640" w:firstLineChars="200"/>
      <w:jc w:val="left"/>
    </w:pPr>
    <w:rPr>
      <w:rFonts w:hint="eastAsia" w:ascii="黑体" w:hAnsi="黑体" w:eastAsia="方正黑体简体" w:cs="黑体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2024-11-13T10:11:00Z</dcterms:created>
  <dc:creator>18262</dc:creator>
  <cp:lastModifiedBy>Administrator</cp:lastModifiedBy>
  <cp:lastPrinted>2025-01-06T02:35:00Z</cp:lastPrinted>
  <dcterms:modified xsi:type="dcterms:W3CDTF">2025-01-09T04:28:30Z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EE5CFBA64F96483985F0186B03DF71EA_13</vt:lpwstr>
  </property>
</Properties>
</file>